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364" w:rsidRPr="00395364" w:rsidRDefault="00395364" w:rsidP="005850E8">
      <w:pPr>
        <w:pStyle w:val="Nagwek2"/>
        <w:numPr>
          <w:ilvl w:val="0"/>
          <w:numId w:val="30"/>
        </w:numPr>
      </w:pPr>
      <w:bookmarkStart w:id="0" w:name="_Toc305374175"/>
      <w:bookmarkStart w:id="1" w:name="_Toc358360251"/>
      <w:r w:rsidRPr="00395364">
        <w:t>INFORMACJA BIOZ</w:t>
      </w:r>
      <w:bookmarkEnd w:id="0"/>
      <w:bookmarkEnd w:id="1"/>
    </w:p>
    <w:p w:rsidR="00395364" w:rsidRPr="00395364" w:rsidRDefault="00395364" w:rsidP="00395364">
      <w:pPr>
        <w:ind w:left="567"/>
        <w:rPr>
          <w:rFonts w:eastAsia="Calibri" w:cs="Times New Roman"/>
        </w:rPr>
      </w:pPr>
    </w:p>
    <w:p w:rsidR="00395364" w:rsidRPr="00395364" w:rsidRDefault="00395364" w:rsidP="00395364">
      <w:pPr>
        <w:ind w:left="567"/>
        <w:rPr>
          <w:rFonts w:eastAsia="Calibri" w:cs="Times New Roman"/>
          <w:b/>
        </w:rPr>
      </w:pPr>
      <w:bookmarkStart w:id="2" w:name="_Ref391033317"/>
      <w:bookmarkStart w:id="3" w:name="_Ref391039453"/>
      <w:r w:rsidRPr="00395364">
        <w:rPr>
          <w:rFonts w:eastAsia="Calibri" w:cs="Times New Roman"/>
          <w:b/>
        </w:rPr>
        <w:t>Dane ewidencyjne</w:t>
      </w:r>
      <w:bookmarkEnd w:id="2"/>
      <w:bookmarkEnd w:id="3"/>
    </w:p>
    <w:p w:rsidR="00395364" w:rsidRPr="00395364" w:rsidRDefault="00395364" w:rsidP="00395364">
      <w:pPr>
        <w:ind w:left="567"/>
        <w:rPr>
          <w:rFonts w:eastAsia="Calibri" w:cs="Times New Roman"/>
          <w:b/>
        </w:rPr>
      </w:pPr>
    </w:p>
    <w:p w:rsidR="00B534B3" w:rsidRPr="00613108" w:rsidRDefault="00B534B3" w:rsidP="00B534B3">
      <w:pPr>
        <w:ind w:left="567"/>
      </w:pPr>
      <w:r w:rsidRPr="00613108">
        <w:t>INWESTOR:</w:t>
      </w:r>
    </w:p>
    <w:p w:rsidR="00B534B3" w:rsidRPr="00547F4E" w:rsidRDefault="00B534B3" w:rsidP="00B534B3">
      <w:pPr>
        <w:ind w:left="567"/>
      </w:pPr>
      <w:r w:rsidRPr="00547F4E">
        <w:t>Poznańskie Ośrodki Sportu i Rekreacji</w:t>
      </w:r>
    </w:p>
    <w:p w:rsidR="00B534B3" w:rsidRPr="00547F4E" w:rsidRDefault="00B534B3" w:rsidP="00B534B3">
      <w:pPr>
        <w:ind w:left="567"/>
      </w:pPr>
      <w:r w:rsidRPr="00547F4E">
        <w:t>Ul. Chwiałkowskiego 34</w:t>
      </w:r>
    </w:p>
    <w:p w:rsidR="00B534B3" w:rsidRDefault="00B534B3" w:rsidP="00B534B3">
      <w:pPr>
        <w:ind w:left="567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547F4E">
        <w:t>61-553 Poznań</w:t>
      </w:r>
    </w:p>
    <w:p w:rsidR="00B534B3" w:rsidRPr="00613108" w:rsidRDefault="00B534B3" w:rsidP="00B534B3">
      <w:pPr>
        <w:ind w:left="567"/>
        <w:rPr>
          <w:color w:val="FF0000"/>
        </w:rPr>
      </w:pPr>
    </w:p>
    <w:p w:rsidR="00B534B3" w:rsidRPr="00613108" w:rsidRDefault="00B534B3" w:rsidP="00B534B3">
      <w:pPr>
        <w:ind w:left="567"/>
      </w:pPr>
      <w:r w:rsidRPr="00613108">
        <w:t>NAZWA INWESTYCJI:</w:t>
      </w:r>
    </w:p>
    <w:p w:rsidR="00B534B3" w:rsidRDefault="00B534B3" w:rsidP="00B534B3">
      <w:pPr>
        <w:ind w:left="567"/>
      </w:pPr>
      <w:r w:rsidRPr="00830D8A">
        <w:t xml:space="preserve">Budowa budynku gastronomicznego z wypożyczalnią kijków do </w:t>
      </w:r>
      <w:proofErr w:type="spellStart"/>
      <w:r w:rsidRPr="00830D8A">
        <w:t>nordic-walking</w:t>
      </w:r>
      <w:proofErr w:type="spellEnd"/>
      <w:r w:rsidRPr="00830D8A">
        <w:t>, budowa wiaty rowerowej, wiaty śmietnikowej oraz ścieżki pieszo-rowerowej w</w:t>
      </w:r>
      <w:r>
        <w:t xml:space="preserve">raz z zagospodarowaniem terenu </w:t>
      </w:r>
      <w:r w:rsidRPr="00830D8A">
        <w:t xml:space="preserve">i infrastrukturą techniczną oraz rozbiórka istniejącego bud. </w:t>
      </w:r>
      <w:r>
        <w:t xml:space="preserve">gastronomicznego i </w:t>
      </w:r>
      <w:proofErr w:type="spellStart"/>
      <w:r>
        <w:t>istn</w:t>
      </w:r>
      <w:proofErr w:type="spellEnd"/>
      <w:r>
        <w:t>. b</w:t>
      </w:r>
      <w:r w:rsidRPr="00830D8A">
        <w:t xml:space="preserve">ud. </w:t>
      </w:r>
      <w:r>
        <w:t>t</w:t>
      </w:r>
      <w:r w:rsidRPr="00830D8A">
        <w:t>oalet w rejonie ul. Warmińs</w:t>
      </w:r>
      <w:r>
        <w:t xml:space="preserve">kiej, </w:t>
      </w:r>
      <w:proofErr w:type="spellStart"/>
      <w:r>
        <w:t>obr</w:t>
      </w:r>
      <w:proofErr w:type="spellEnd"/>
      <w:r>
        <w:t>. Golęcin, dz. 18/2 w P</w:t>
      </w:r>
      <w:r w:rsidRPr="00830D8A">
        <w:t>oznaniu</w:t>
      </w:r>
      <w:r>
        <w:t>.</w:t>
      </w:r>
    </w:p>
    <w:p w:rsidR="00B534B3" w:rsidRPr="00613108" w:rsidRDefault="00B534B3" w:rsidP="00B534B3">
      <w:pPr>
        <w:ind w:left="567"/>
        <w:rPr>
          <w:rFonts w:cs="Arial"/>
          <w:szCs w:val="16"/>
        </w:rPr>
      </w:pPr>
    </w:p>
    <w:p w:rsidR="00B534B3" w:rsidRPr="00613108" w:rsidRDefault="00B534B3" w:rsidP="00B534B3">
      <w:pPr>
        <w:ind w:left="567"/>
      </w:pPr>
      <w:r w:rsidRPr="00776766">
        <w:t>ADRES INWESTYCJI</w:t>
      </w:r>
      <w:r w:rsidRPr="00613108">
        <w:t>:</w:t>
      </w:r>
    </w:p>
    <w:p w:rsidR="00B534B3" w:rsidRDefault="00B534B3" w:rsidP="00B534B3">
      <w:pPr>
        <w:ind w:left="567"/>
      </w:pPr>
      <w:r>
        <w:t xml:space="preserve">Poznań, </w:t>
      </w:r>
      <w:r w:rsidRPr="000550D2">
        <w:t xml:space="preserve">obręb Golęcin, ark.36 </w:t>
      </w:r>
    </w:p>
    <w:p w:rsidR="00B534B3" w:rsidRPr="00862CDD" w:rsidRDefault="00B534B3" w:rsidP="00B534B3">
      <w:pPr>
        <w:ind w:left="567"/>
        <w:rPr>
          <w:rFonts w:cs="Arial"/>
          <w:szCs w:val="16"/>
        </w:rPr>
      </w:pPr>
      <w:r w:rsidRPr="000550D2">
        <w:t>działk</w:t>
      </w:r>
      <w:r>
        <w:t>a nr 18/2</w:t>
      </w:r>
    </w:p>
    <w:p w:rsidR="00395364" w:rsidRPr="00395364" w:rsidRDefault="00395364" w:rsidP="00395364">
      <w:pPr>
        <w:ind w:left="567"/>
        <w:rPr>
          <w:rFonts w:eastAsia="Calibri" w:cs="Times New Roman"/>
        </w:rPr>
      </w:pPr>
    </w:p>
    <w:p w:rsidR="00395364" w:rsidRPr="00395364" w:rsidRDefault="00D47A5B" w:rsidP="00395364">
      <w:pPr>
        <w:ind w:left="567"/>
        <w:rPr>
          <w:rFonts w:eastAsia="Calibri" w:cs="Times New Roman"/>
        </w:rPr>
      </w:pPr>
      <w:r w:rsidRPr="00395364">
        <w:rPr>
          <w:rFonts w:eastAsia="Calibri" w:cs="Times New Roman"/>
        </w:rPr>
        <w:t>PROJEKTANT SPORZĄDZAJĄCY INFORMACJĘ</w:t>
      </w:r>
      <w:r w:rsidR="00395364" w:rsidRPr="00395364">
        <w:rPr>
          <w:rFonts w:eastAsia="Calibri" w:cs="Times New Roman"/>
        </w:rPr>
        <w:t>:</w:t>
      </w:r>
    </w:p>
    <w:p w:rsidR="00395364" w:rsidRDefault="00395364" w:rsidP="00395364">
      <w:pPr>
        <w:ind w:left="567"/>
        <w:rPr>
          <w:rFonts w:eastAsia="Calibri" w:cs="Times New Roman"/>
        </w:rPr>
      </w:pPr>
      <w:r w:rsidRPr="00395364">
        <w:rPr>
          <w:rFonts w:eastAsia="Calibri" w:cs="Times New Roman"/>
        </w:rPr>
        <w:t>mgr inż. arch. Jan Nikisch</w:t>
      </w:r>
    </w:p>
    <w:p w:rsidR="00395364" w:rsidRDefault="00395364" w:rsidP="00395364">
      <w:pPr>
        <w:ind w:left="567"/>
        <w:rPr>
          <w:rFonts w:eastAsia="Calibri" w:cs="Times New Roman"/>
        </w:rPr>
      </w:pPr>
      <w:r>
        <w:rPr>
          <w:rFonts w:eastAsia="Calibri" w:cs="Times New Roman"/>
        </w:rPr>
        <w:t>Adres:</w:t>
      </w:r>
    </w:p>
    <w:p w:rsidR="00395364" w:rsidRDefault="00395364" w:rsidP="00395364">
      <w:pPr>
        <w:ind w:left="567"/>
        <w:rPr>
          <w:rFonts w:eastAsia="Calibri" w:cs="Times New Roman"/>
        </w:rPr>
      </w:pPr>
      <w:r>
        <w:rPr>
          <w:rFonts w:eastAsia="Calibri" w:cs="Times New Roman"/>
        </w:rPr>
        <w:t>Ul. Franciszka Lubeckiego 2</w:t>
      </w:r>
    </w:p>
    <w:p w:rsidR="00395364" w:rsidRDefault="00395364" w:rsidP="00395364">
      <w:pPr>
        <w:ind w:left="567"/>
        <w:rPr>
          <w:rFonts w:eastAsia="Calibri" w:cs="Times New Roman"/>
        </w:rPr>
      </w:pPr>
      <w:r>
        <w:rPr>
          <w:rFonts w:eastAsia="Calibri" w:cs="Times New Roman"/>
        </w:rPr>
        <w:t>60-348 Poznań</w:t>
      </w:r>
    </w:p>
    <w:p w:rsidR="009A55CD" w:rsidRDefault="009A55CD" w:rsidP="00395364">
      <w:pPr>
        <w:ind w:left="567"/>
        <w:rPr>
          <w:rFonts w:eastAsia="Calibri" w:cs="Times New Roman"/>
        </w:rPr>
      </w:pPr>
    </w:p>
    <w:p w:rsidR="009A55CD" w:rsidRDefault="009A55CD" w:rsidP="00395364">
      <w:pPr>
        <w:ind w:left="567"/>
        <w:rPr>
          <w:rFonts w:eastAsia="Calibri" w:cs="Times New Roman"/>
        </w:rPr>
      </w:pPr>
    </w:p>
    <w:p w:rsidR="009A55CD" w:rsidRDefault="009A55CD" w:rsidP="00395364">
      <w:pPr>
        <w:ind w:left="567"/>
        <w:rPr>
          <w:rFonts w:eastAsia="Calibri" w:cs="Times New Roman"/>
        </w:rPr>
      </w:pPr>
    </w:p>
    <w:p w:rsidR="009A55CD" w:rsidRDefault="009A55CD" w:rsidP="00395364">
      <w:pPr>
        <w:ind w:left="567"/>
        <w:rPr>
          <w:rFonts w:eastAsia="Calibri" w:cs="Times New Roman"/>
        </w:rPr>
      </w:pPr>
    </w:p>
    <w:p w:rsidR="009A55CD" w:rsidRDefault="009A55CD" w:rsidP="00395364">
      <w:pPr>
        <w:ind w:left="567"/>
        <w:rPr>
          <w:rFonts w:eastAsia="Calibri" w:cs="Times New Roman"/>
        </w:rPr>
      </w:pPr>
    </w:p>
    <w:p w:rsidR="009A55CD" w:rsidRDefault="009A55CD" w:rsidP="00395364">
      <w:pPr>
        <w:ind w:left="567"/>
        <w:rPr>
          <w:rFonts w:eastAsia="Calibri" w:cs="Times New Roman"/>
        </w:rPr>
      </w:pPr>
    </w:p>
    <w:p w:rsidR="009A55CD" w:rsidRDefault="009A55CD" w:rsidP="00395364">
      <w:pPr>
        <w:ind w:left="567"/>
        <w:rPr>
          <w:rFonts w:eastAsia="Calibri" w:cs="Times New Roman"/>
        </w:rPr>
      </w:pPr>
      <w:r>
        <w:rPr>
          <w:rFonts w:eastAsia="Calibri" w:cs="Times New Roman"/>
        </w:rPr>
        <w:br/>
      </w:r>
    </w:p>
    <w:p w:rsidR="009A55CD" w:rsidRDefault="009A55CD" w:rsidP="009A55CD">
      <w:r>
        <w:br w:type="page"/>
      </w:r>
    </w:p>
    <w:p w:rsidR="001300DD" w:rsidRPr="00E94BE6" w:rsidRDefault="001300DD" w:rsidP="001300DD">
      <w:pPr>
        <w:pStyle w:val="DEMIURGNumeracja1"/>
        <w:keepLines w:val="0"/>
        <w:ind w:left="567" w:hanging="567"/>
      </w:pPr>
      <w:r w:rsidRPr="00E94BE6">
        <w:lastRenderedPageBreak/>
        <w:t>Informacja bezpieczeństwa i ochrony zdrowia zwana dalej „informacją BIOZ" została opracowana na podstawie:</w:t>
      </w:r>
    </w:p>
    <w:p w:rsidR="001300DD" w:rsidRPr="00AB6E4B" w:rsidRDefault="001300DD" w:rsidP="001300DD">
      <w:pPr>
        <w:pStyle w:val="Akapitzlist"/>
        <w:numPr>
          <w:ilvl w:val="0"/>
          <w:numId w:val="27"/>
        </w:numPr>
        <w:ind w:left="709"/>
      </w:pPr>
      <w:r w:rsidRPr="00AB6E4B">
        <w:t>Rozporządzenie Ministra Infrast</w:t>
      </w:r>
      <w:r>
        <w:t xml:space="preserve">ruktury z dnia 23 czerwca 2003 </w:t>
      </w:r>
      <w:r w:rsidRPr="00AB6E4B">
        <w:t>w sprawie informacji dotyczącej bezpieczeństwa i ochrony zdrowia oraz planu „bioz” /Dz. U. Nr 120 . poz.1126/ - wg aktualnego stanu prawnego</w:t>
      </w:r>
    </w:p>
    <w:p w:rsidR="001300DD" w:rsidRPr="00AB6E4B" w:rsidRDefault="001300DD" w:rsidP="001300DD">
      <w:pPr>
        <w:pStyle w:val="Akapitzlist"/>
        <w:numPr>
          <w:ilvl w:val="0"/>
          <w:numId w:val="27"/>
        </w:numPr>
        <w:ind w:left="709"/>
      </w:pPr>
      <w:r>
        <w:t>Rozporz</w:t>
      </w:r>
      <w:r w:rsidRPr="00221661">
        <w:t>ą</w:t>
      </w:r>
      <w:r>
        <w:t>dzenie Ministra Transportu, Budownictwa  i Gospodarki Morskiej</w:t>
      </w:r>
      <w:r w:rsidRPr="00AB6E4B">
        <w:t xml:space="preserve"> w sprawie szczegółowego zakresu i formy projektu budowlanego z dnia 25 kwietnia 2012r. /Dz.U. 2012 poz. 462./ - wg aktualnego stanu prawnego.</w:t>
      </w:r>
    </w:p>
    <w:p w:rsidR="001300DD" w:rsidRPr="00E94BE6" w:rsidRDefault="001300DD" w:rsidP="001300DD">
      <w:pPr>
        <w:pStyle w:val="Akapitzlist"/>
        <w:numPr>
          <w:ilvl w:val="0"/>
          <w:numId w:val="27"/>
        </w:numPr>
        <w:ind w:left="709"/>
      </w:pPr>
      <w:r>
        <w:t>Ustawa z dnia 7 lipca 1994r. Prawo Budowlane (Dz.U. 2013r., poz. 1409 ze zmianami) oraz normy i normatywy techniczne.</w:t>
      </w:r>
    </w:p>
    <w:p w:rsidR="001300DD" w:rsidRPr="00760FF0" w:rsidRDefault="001300DD" w:rsidP="001300DD">
      <w:pPr>
        <w:pStyle w:val="DEMIURGNumeracja1"/>
        <w:keepLines w:val="0"/>
        <w:ind w:left="567" w:hanging="567"/>
      </w:pPr>
      <w:r w:rsidRPr="00760FF0">
        <w:t>Niniejsza informacja BIOZ zawiera:</w:t>
      </w:r>
    </w:p>
    <w:p w:rsidR="001300DD" w:rsidRPr="00E94BE6" w:rsidRDefault="001300DD" w:rsidP="001300DD">
      <w:pPr>
        <w:pStyle w:val="Akapitzlist"/>
        <w:numPr>
          <w:ilvl w:val="0"/>
          <w:numId w:val="28"/>
        </w:numPr>
      </w:pPr>
      <w:r w:rsidRPr="00E94BE6">
        <w:t>Zakres robót całego zamierzenia budowlanego oraz kolejność realizacji robót.</w:t>
      </w:r>
    </w:p>
    <w:p w:rsidR="001300DD" w:rsidRPr="00E94BE6" w:rsidRDefault="001300DD" w:rsidP="001300DD">
      <w:pPr>
        <w:pStyle w:val="Akapitzlist"/>
        <w:numPr>
          <w:ilvl w:val="0"/>
          <w:numId w:val="28"/>
        </w:numPr>
      </w:pPr>
      <w:r w:rsidRPr="00E94BE6">
        <w:t>Wskazanie elementów zagospodarowania działki lub terenu, które mogą stwarzać zagrożenie bezpieczeństwa i zdrowia ludzi.</w:t>
      </w:r>
    </w:p>
    <w:p w:rsidR="001300DD" w:rsidRPr="00E94BE6" w:rsidRDefault="001300DD" w:rsidP="001300DD">
      <w:pPr>
        <w:pStyle w:val="Akapitzlist"/>
        <w:numPr>
          <w:ilvl w:val="0"/>
          <w:numId w:val="28"/>
        </w:numPr>
      </w:pPr>
      <w:r w:rsidRPr="00E94BE6">
        <w:t>Informacje dotyczące przewidywanych zagrożeń występujących podczas realizacji robót budowlanych, określające skalę i rodzaje zagrożeń oraz miejsce i czas ich wystąpienia.</w:t>
      </w:r>
    </w:p>
    <w:p w:rsidR="001300DD" w:rsidRPr="00E94BE6" w:rsidRDefault="001300DD" w:rsidP="001300DD">
      <w:pPr>
        <w:pStyle w:val="Akapitzlist"/>
        <w:numPr>
          <w:ilvl w:val="0"/>
          <w:numId w:val="28"/>
        </w:numPr>
      </w:pPr>
      <w:r w:rsidRPr="00E94BE6">
        <w:t>Informacja o wydzieleniu i oznakowaniu miejsca prowadzenia robót budowlanych, stosownie do rodzaju zagrożenia.</w:t>
      </w:r>
    </w:p>
    <w:p w:rsidR="001300DD" w:rsidRPr="00E94BE6" w:rsidRDefault="001300DD" w:rsidP="001300DD">
      <w:pPr>
        <w:pStyle w:val="Akapitzlist"/>
        <w:numPr>
          <w:ilvl w:val="0"/>
          <w:numId w:val="28"/>
        </w:numPr>
      </w:pPr>
      <w:r w:rsidRPr="00E94BE6">
        <w:t>Informacja o sposobie prowadzenia instruktażu pracowników przed przystąpieniem do realizacji robót szczególnie niebezpiecznych.</w:t>
      </w:r>
    </w:p>
    <w:p w:rsidR="001300DD" w:rsidRPr="00E94BE6" w:rsidRDefault="001300DD" w:rsidP="001300DD">
      <w:pPr>
        <w:pStyle w:val="Akapitzlist"/>
        <w:numPr>
          <w:ilvl w:val="0"/>
          <w:numId w:val="28"/>
        </w:numPr>
      </w:pPr>
      <w:r w:rsidRPr="00E94BE6"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</w:t>
      </w:r>
    </w:p>
    <w:p w:rsidR="001300DD" w:rsidRPr="00E94BE6" w:rsidRDefault="001300DD" w:rsidP="001300DD">
      <w:pPr>
        <w:pStyle w:val="Akapitzlist"/>
        <w:numPr>
          <w:ilvl w:val="0"/>
          <w:numId w:val="28"/>
        </w:numPr>
      </w:pPr>
      <w:r w:rsidRPr="00E94BE6">
        <w:t>Wskazanie miejsca przechowywania dokumentacji budowy oraz dokumentów niezbędnych do prawidłowej eksploatacji maszyn i innych urządzeń technicznych.</w:t>
      </w:r>
    </w:p>
    <w:p w:rsidR="001300DD" w:rsidRPr="00E94BE6" w:rsidRDefault="001300DD" w:rsidP="001300DD">
      <w:pPr>
        <w:pStyle w:val="Akapitzlist"/>
        <w:numPr>
          <w:ilvl w:val="0"/>
          <w:numId w:val="28"/>
        </w:numPr>
      </w:pPr>
      <w:r w:rsidRPr="00E94BE6">
        <w:t>Obowiązujące przepisy i normy prawne.</w:t>
      </w:r>
    </w:p>
    <w:p w:rsidR="001300DD" w:rsidRPr="00760FF0" w:rsidRDefault="001300DD" w:rsidP="001300DD">
      <w:pPr>
        <w:pStyle w:val="DEMIURGNumeracja1"/>
        <w:keepLines w:val="0"/>
        <w:ind w:left="567" w:hanging="567"/>
      </w:pPr>
      <w:bookmarkStart w:id="4" w:name="bookmark0"/>
      <w:r w:rsidRPr="00760FF0">
        <w:t xml:space="preserve">Zakres robót </w:t>
      </w:r>
      <w:r>
        <w:t xml:space="preserve">dla zamierzenia budowlanego </w:t>
      </w:r>
      <w:r w:rsidRPr="00760FF0">
        <w:t>oraz kolejność realizacji obiektu</w:t>
      </w:r>
      <w:bookmarkEnd w:id="4"/>
    </w:p>
    <w:p w:rsidR="001300DD" w:rsidRDefault="001300DD" w:rsidP="001300DD">
      <w:r w:rsidRPr="00760FF0">
        <w:t>Przed rozpoczęciem robót budowlanych wykonawcę zobowiązuje się do: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zabezpieczenie okolicznych obiektów i wyznaczenia stref niebezpiecznych,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zapewnienia energii elektrycznej oraz wody, zwanych dalej "mediami", oraz odprowadzania lub utylizacji ścieków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zapewnienia pomieszczeń higieniczno-sanitarnych i socjalnych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zapewnienia oświetlenia naturalnego i sztucznego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zapewnienia właściwej wentylacji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 xml:space="preserve">urządzenia składowisk materiałów i wyrobów </w:t>
      </w:r>
    </w:p>
    <w:p w:rsidR="001300DD" w:rsidRPr="00760FF0" w:rsidRDefault="001300DD" w:rsidP="001300DD">
      <w:pPr>
        <w:pStyle w:val="DEMIURGPunktator1"/>
        <w:numPr>
          <w:ilvl w:val="0"/>
          <w:numId w:val="0"/>
        </w:numPr>
        <w:ind w:left="709"/>
      </w:pPr>
      <w:r>
        <w:t>R</w:t>
      </w:r>
      <w:r w:rsidRPr="00760FF0">
        <w:t xml:space="preserve">oboty będą wykonywane w następującej kolejności: 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przygotowanie placu budowy oraz zabezpieczenie obszaru prowadzenia prac budowlanych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 xml:space="preserve">wyznaczenie wjazdu na teren budowy 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 xml:space="preserve">wycinka drzew 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zabezpieczenie korzeni  drzew nie przeznaczonych do wycinki, znajdujących się w sąsiedztwie lub na terenie placu budowy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lastRenderedPageBreak/>
        <w:t>odłączenie i zabezpieczenie instalacji oraz istniejących sieci na terenie budowy, podlegających przebudowie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 xml:space="preserve">przebudowa istniejącej sieci elektrycznej 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przebudowa istniejącej siec</w:t>
      </w:r>
      <w:r w:rsidR="00FE1DEB">
        <w:rPr>
          <w:b w:val="0"/>
        </w:rPr>
        <w:t>i kanalizacyjnej sanitarnej i deszczowej</w:t>
      </w:r>
      <w:bookmarkStart w:id="5" w:name="_GoBack"/>
      <w:bookmarkEnd w:id="5"/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 xml:space="preserve">przebudowa istniejącej sieci wodociągowej 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roboty ziemne obejmujące zakres budynku</w:t>
      </w:r>
      <w:r w:rsidR="00501E90">
        <w:rPr>
          <w:b w:val="0"/>
        </w:rPr>
        <w:t xml:space="preserve"> gastronomicznego i toalet, zbiornika retencyjnego</w:t>
      </w:r>
      <w:r w:rsidRPr="001300DD">
        <w:rPr>
          <w:b w:val="0"/>
        </w:rPr>
        <w:t>, przebudowy sieci, infrastruktury technicznej i zagospodarowania terenu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zabezpieczenie przed naporem wód gruntowych, odwodnienie wykopu</w:t>
      </w:r>
    </w:p>
    <w:p w:rsid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 xml:space="preserve">budowa </w:t>
      </w:r>
      <w:r w:rsidR="00501E90">
        <w:rPr>
          <w:b w:val="0"/>
        </w:rPr>
        <w:t>nowego budynku gastronomicznego</w:t>
      </w:r>
    </w:p>
    <w:p w:rsidR="00790EE4" w:rsidRPr="001300DD" w:rsidRDefault="00790EE4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>
        <w:rPr>
          <w:b w:val="0"/>
        </w:rPr>
        <w:t>wykonanie tarasu i podestu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przebudowa sieci kanalizacji deszczowej wg. odrębnego opracowania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podłączenie sieci wodociągowej, kan</w:t>
      </w:r>
      <w:r w:rsidR="00501E90">
        <w:rPr>
          <w:b w:val="0"/>
        </w:rPr>
        <w:t>alizacyjnej, energetycznej</w:t>
      </w:r>
      <w:r w:rsidRPr="001300DD">
        <w:rPr>
          <w:b w:val="0"/>
        </w:rPr>
        <w:t xml:space="preserve"> 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wykończenie zewnętrzne budynku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wykończenie wewnętrzne budynku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montaż wyposażenia wewnętrznego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utworzenie nawierzchni utwardzonych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montaż elementów małej architektury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nasadzenia drzew i krzewów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wysianie trawników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709" w:hanging="284"/>
        <w:rPr>
          <w:b w:val="0"/>
        </w:rPr>
      </w:pPr>
      <w:r w:rsidRPr="001300DD">
        <w:rPr>
          <w:b w:val="0"/>
        </w:rPr>
        <w:t>prace porządkowe</w:t>
      </w:r>
    </w:p>
    <w:p w:rsidR="001300DD" w:rsidRPr="002311EE" w:rsidRDefault="001300DD" w:rsidP="001300DD">
      <w:pPr>
        <w:pStyle w:val="DEMIURGNumeracja1"/>
        <w:keepLines w:val="0"/>
        <w:ind w:left="567" w:hanging="567"/>
      </w:pPr>
      <w:bookmarkStart w:id="6" w:name="bookmark1"/>
      <w:r w:rsidRPr="002311EE">
        <w:t>Wskazanie elementów zagospodarowania działki lub terenu, które mogą stwarzać zagrożenie bezpieczeństwa i zdrowia ludzi</w:t>
      </w:r>
      <w:bookmarkEnd w:id="6"/>
    </w:p>
    <w:p w:rsidR="001300DD" w:rsidRPr="004A0E93" w:rsidRDefault="001300DD" w:rsidP="001300DD">
      <w:pPr>
        <w:pStyle w:val="DEMIURGPunktator1"/>
        <w:numPr>
          <w:ilvl w:val="0"/>
          <w:numId w:val="0"/>
        </w:numPr>
        <w:ind w:left="851"/>
        <w:rPr>
          <w:sz w:val="20"/>
        </w:rPr>
      </w:pPr>
      <w:r>
        <w:t>Należy zwrócić szczególną uwagę na: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wyznaczenia stref niebezpiecznych, zwracając szczególną uwagę na bliskość granicy z sąsiednią działką obiektów budowlanych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odłączenie i zabezpieczenie instalacji oraz istniejących sieci, ochrona przed porażeniem oraz zalaniem wykopu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zabezpieczenie wykopu przed zalaniem i naporem wód gruntowych stwarzających istotne zagrożenie dla ludzi oraz sprzętu znajdującego się w wykopie lub jego bezpośrednim sąsiedztwie, a także stwarzających ryzyko podmycia i naruszenia posadowienia istniejącego budynku</w:t>
      </w:r>
    </w:p>
    <w:p w:rsidR="001300DD" w:rsidRPr="00C85FE5" w:rsidRDefault="001300DD" w:rsidP="001300DD">
      <w:pPr>
        <w:pStyle w:val="DEMIURGNumeracja1"/>
        <w:keepLines w:val="0"/>
        <w:ind w:left="567" w:hanging="567"/>
      </w:pPr>
      <w:bookmarkStart w:id="7" w:name="bookmark2"/>
      <w:r w:rsidRPr="00C85FE5">
        <w:t>Informacje dotyczące przewidywanych zagrożeń występujących podczas realizacji robót budowlanych, określające skalę i rodzaje zagrożeń oraz miejsce i czas ich wystąpienia.</w:t>
      </w:r>
      <w:bookmarkEnd w:id="7"/>
    </w:p>
    <w:p w:rsidR="001300DD" w:rsidRDefault="001300DD" w:rsidP="001300DD">
      <w:r w:rsidRPr="00C85FE5">
        <w:t xml:space="preserve">Plan bezpieczeństwa i ochrony zdrowia sporządza się z uwagi na roboty, przy których wykonywaniu występuje ryzyko upadku z wysokości ponad 5,0 m oraz </w:t>
      </w:r>
      <w:r>
        <w:t>zagrożenie przez elementy budowlane lub narzędzia spadające z wysokości</w:t>
      </w:r>
      <w:r w:rsidRPr="00C85FE5">
        <w:t>.</w:t>
      </w:r>
      <w:r>
        <w:t xml:space="preserve"> </w:t>
      </w:r>
    </w:p>
    <w:p w:rsidR="001300DD" w:rsidRPr="00120636" w:rsidRDefault="001300DD" w:rsidP="001300DD">
      <w:pPr>
        <w:pStyle w:val="DEMIURGNumeracja2"/>
        <w:spacing w:before="120"/>
        <w:ind w:left="567" w:hanging="567"/>
      </w:pPr>
      <w:r w:rsidRPr="00120636">
        <w:t>Roboty ziemne.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upadek pracownika lub osoby postronnej do wykopu (brak wygrodzenia wykopu balustradami; brak przykrycia wykopu)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zasypanie pracownika w wykopie wąsko</w:t>
      </w:r>
      <w:r w:rsidR="00790EE4">
        <w:rPr>
          <w:b w:val="0"/>
        </w:rPr>
        <w:t>-</w:t>
      </w:r>
      <w:r w:rsidRPr="001300DD">
        <w:rPr>
          <w:b w:val="0"/>
        </w:rPr>
        <w:t>przestrzennym (brak zabezpieczenia ścian wykopu przed obsunięciem się; obciążenie klina naturalnego odłamu gruntu urobkiem pochodzącym z wykopu)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obciążenie klina naturalnego odłamu gruntu urobkiem pochodzącym z wykopu lub maszyną budowlaną. Może wystąpić w czasie rozbiórki części obiektów poniżej poziomu terenu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 xml:space="preserve"> potrącenie pracownika lub osoby postronnej łyżką koparki przy wykonywaniu robót na placu budowy lub w miejscu dostępnym dla osób postronnych (brak wygrodzenia strefy niebezpiecznej)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osunięcie się pozostawianego obiektu w przypadku odkopania jego fundamentu na znacznej długości</w:t>
      </w:r>
    </w:p>
    <w:p w:rsidR="001300DD" w:rsidRPr="004A0E93" w:rsidRDefault="001300DD" w:rsidP="001300DD">
      <w:pPr>
        <w:pStyle w:val="DEMIURGNumeracja2"/>
        <w:spacing w:before="120"/>
        <w:ind w:left="567" w:hanging="567"/>
      </w:pPr>
      <w:r w:rsidRPr="004A0E93">
        <w:t>Roboty budo</w:t>
      </w:r>
      <w:r>
        <w:t>wlano-demontażowe (rozbiórkowe)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upadek pracownika z wysokości (brak zastosowania środków ochrony indywidualnej). Może wystąpić podczas robót demontażowych elementów stalowych, murowych i żelbetowych elementów wielkowymiarowych. Dotyczy to robót wykonywanych na wysokości powyżej 2,0 m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przygniecenie pracownika demontowanym elementem podczas wykonywania robót rozbiórkowych przy użyciu żurawia budowlanego lub koparki (przebywanie pracownika w strefie zagrożenia, tj. w obszarze równym rzutowi przemieszczanego elementu, powiększonym z każdej strony o 6,0 m)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uderzenie spadającym przedmiotem pracownika lub osoby postronnej korzystającej z ciągu pieszego usytuowanego przy obiekcie budowlanym (brak wygrodzenia strefy niebezpiecznej)</w:t>
      </w:r>
    </w:p>
    <w:p w:rsidR="001300DD" w:rsidRPr="004A0E93" w:rsidRDefault="001300DD" w:rsidP="001300DD">
      <w:pPr>
        <w:pStyle w:val="DEMIURGNumeracja2"/>
        <w:spacing w:before="120"/>
        <w:ind w:left="567" w:hanging="567"/>
      </w:pPr>
      <w:r w:rsidRPr="004A0E93">
        <w:t>Praca maszyn i urządzeń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potrącenia, przygniecenie pracownika maszyną budowlaną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pochwycenie kończyny górnej lub dolnej przez napęd (brak pełnej osłony napędu)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porażenie prądem elektrycznym (brak zabezpieczenia przewodów zasilających urządzenia mechaniczne przed uszkodzeniami mechanicznymi)</w:t>
      </w:r>
    </w:p>
    <w:p w:rsidR="001300DD" w:rsidRPr="001E175E" w:rsidRDefault="001300DD" w:rsidP="001300DD">
      <w:pPr>
        <w:pStyle w:val="DEMIURGNumeracja2"/>
        <w:spacing w:before="120"/>
        <w:ind w:left="567" w:hanging="567"/>
      </w:pPr>
      <w:r w:rsidRPr="001E175E">
        <w:t>Osoby nieupoważnione.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Zawalenie obiektu na osoby przebywające wewnątrz</w:t>
      </w:r>
    </w:p>
    <w:p w:rsidR="001300DD" w:rsidRPr="00760FF0" w:rsidRDefault="001300DD" w:rsidP="001300DD">
      <w:pPr>
        <w:pStyle w:val="DEMIURGNumeracja1"/>
        <w:keepLines w:val="0"/>
        <w:ind w:left="567" w:hanging="567"/>
      </w:pPr>
      <w:bookmarkStart w:id="8" w:name="bookmark3"/>
      <w:r w:rsidRPr="00760FF0">
        <w:t>Informacja o wydzieleniu i oznakowaniu miejsca prowadzenia robót budowlanych, stosownie do rodzaju zagrożenia.</w:t>
      </w:r>
      <w:bookmarkEnd w:id="8"/>
    </w:p>
    <w:p w:rsidR="001300DD" w:rsidRPr="00760FF0" w:rsidRDefault="001300DD" w:rsidP="001300DD">
      <w:r w:rsidRPr="00760FF0">
        <w:t>Przed rozpoczęciem robót budowlanych teren budowy należy ogrodzić (wysokość ogrodzenia min. 1,5 m) albo w inny sposób uniemożliwić wejście osób nieupoważnionych. Przewiduje się stały nadzór placu budowy.</w:t>
      </w:r>
    </w:p>
    <w:p w:rsidR="001300DD" w:rsidRPr="00760FF0" w:rsidRDefault="001300DD" w:rsidP="001300DD">
      <w:r w:rsidRPr="00760FF0">
        <w:t>Na terenie budowy wyznaczyć ewentualne strefy niebezpieczne. Strefy niebezpieczne ogrodzić i oznakować w sposób uniemożliwi</w:t>
      </w:r>
      <w:r>
        <w:t>ający dostęp osobom postronnym.</w:t>
      </w:r>
    </w:p>
    <w:p w:rsidR="001300DD" w:rsidRPr="001E175E" w:rsidRDefault="001300DD" w:rsidP="001300DD">
      <w:pPr>
        <w:pStyle w:val="DEMIURGNumeracja1"/>
        <w:keepLines w:val="0"/>
        <w:ind w:left="567" w:hanging="567"/>
      </w:pPr>
      <w:r w:rsidRPr="001E175E">
        <w:t>Informacja o sposobie prowadzenia instruktażu pracowników przed przystąpieniem do realizacji robót szczególnie niebezpiecznych.</w:t>
      </w:r>
    </w:p>
    <w:p w:rsidR="001300DD" w:rsidRPr="001E175E" w:rsidRDefault="001300DD" w:rsidP="001300DD">
      <w:r w:rsidRPr="001E175E">
        <w:t>Wykonawca przed przystąpieniem do wykonywania robót budowlanych opracuje instrukcję bezpiecznego ich wykonywania i zaznajomi z nią pracowników w zakresie wykonywanych przez nich robót. Zobowiązuje się do współdziałania ze sobą uczestników procesu budowlanego w zakresie bezpieczeństwa i higieny pracy w procesie przygotowania i realizacji budowy oraz stosowania środków ochrony indywidualnej.</w:t>
      </w:r>
    </w:p>
    <w:p w:rsidR="001300DD" w:rsidRPr="001E175E" w:rsidRDefault="001300DD" w:rsidP="001300DD">
      <w:r w:rsidRPr="001E175E">
        <w:t xml:space="preserve">Pracodawca jest obowiązany udostępnić pracownikom, do stałego korzystania, aktualne instrukcje bezpieczeństwa i higieny pracy dotyczące: </w:t>
      </w:r>
    </w:p>
    <w:p w:rsidR="001300DD" w:rsidRPr="001E175E" w:rsidRDefault="001300DD" w:rsidP="001300DD">
      <w:r w:rsidRPr="001E175E">
        <w:t>stosowanych procesów technologicznych oraz wykonywania prac związanych z zagrożeniami wypadkowymi lub zagrożeniami zdrowia pracowników,</w:t>
      </w:r>
    </w:p>
    <w:p w:rsidR="001300DD" w:rsidRPr="001E175E" w:rsidRDefault="001300DD" w:rsidP="001300DD">
      <w:r w:rsidRPr="001E175E">
        <w:t>obsługi maszyn i innych urządzeń technicznych,</w:t>
      </w:r>
    </w:p>
    <w:p w:rsidR="001300DD" w:rsidRPr="001E175E" w:rsidRDefault="001300DD" w:rsidP="001300DD">
      <w:r w:rsidRPr="001E175E">
        <w:t>postępowania z materiałami szkodliwymi dla zdrowia i niebezpiecznymi,</w:t>
      </w:r>
    </w:p>
    <w:p w:rsidR="001300DD" w:rsidRPr="001E175E" w:rsidRDefault="001300DD" w:rsidP="001300DD">
      <w:r w:rsidRPr="001E175E">
        <w:t xml:space="preserve">udzielania pierwszej pomocy. </w:t>
      </w:r>
    </w:p>
    <w:p w:rsidR="001300DD" w:rsidRPr="001E175E" w:rsidRDefault="001300DD" w:rsidP="001300DD">
      <w:r w:rsidRPr="001E175E">
        <w:t xml:space="preserve">Ww. instrukcje, powinny odpowiednio określać czynności do wykonywania przed rozpoczęciem danej pracy, zasady i sposoby bezpiecznego wykonywania danej pracy, czynności do wykonania po jej zakończeniu oraz zasady postępowania w sytuacjach awaryjnych stwarzających zagrożenia dla życia lub zdrowia pracowników. Zmiany w procesie technologicznym, zmiany konstrukcyjne urządzeń technicznych oraz zmiany w sposobie użytkowania pomieszczeń powinny być poprzedzone oceną pod względem bezpieczeństwa i higieny pracy, w trybie ustalonym przez pracodawcę. </w:t>
      </w:r>
    </w:p>
    <w:p w:rsidR="001300DD" w:rsidRPr="001E175E" w:rsidRDefault="001300DD" w:rsidP="001300DD">
      <w:r w:rsidRPr="001E175E">
        <w:t>Stanowiska pracy, na których występuje ryzyko pożaru, wybuchu, upadku lub wyrzucenia przedmiotów albo wydzielenia się substancji szkodliwych dla zdrowia lub niebezpiecznych, zaopatrzyć w urządzenia ochronne zapewniające ochronę pracowników przed skutkami tego ryzyka.</w:t>
      </w:r>
    </w:p>
    <w:p w:rsidR="001300DD" w:rsidRPr="00760FF0" w:rsidRDefault="001300DD" w:rsidP="001300DD">
      <w:pPr>
        <w:pStyle w:val="DEMIURGNumeracja1"/>
        <w:keepLines w:val="0"/>
        <w:ind w:left="567" w:hanging="567"/>
      </w:pPr>
      <w:r w:rsidRPr="00760FF0">
        <w:t>Określenie sposobu przechowywania i przemieszczania materiałów, wyrobów, substancji oraz preparatów niebezpiecznych na terenie budowy.</w:t>
      </w:r>
    </w:p>
    <w:p w:rsidR="001300DD" w:rsidRPr="00760FF0" w:rsidRDefault="001300DD" w:rsidP="001300DD">
      <w:r w:rsidRPr="00760FF0">
        <w:t>Na terenie budowy nie przewiduje się przechowywania ani przemieszczania materiałów, wyrobów, substancji oraz preparatów niebezpiecznych.</w:t>
      </w:r>
    </w:p>
    <w:p w:rsidR="001300DD" w:rsidRPr="00760FF0" w:rsidRDefault="001300DD" w:rsidP="001300DD">
      <w:pPr>
        <w:pStyle w:val="DEMIURGNumeracja1"/>
        <w:keepLines w:val="0"/>
        <w:ind w:left="567" w:hanging="567"/>
      </w:pPr>
      <w:r w:rsidRPr="00760FF0"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</w:t>
      </w:r>
    </w:p>
    <w:p w:rsidR="001300DD" w:rsidRPr="00C85FE5" w:rsidRDefault="001300DD" w:rsidP="001300DD">
      <w:r w:rsidRPr="00760FF0">
        <w:t>Uczestników procesu budowlanego zobowiązuje się do stosowania niezbędnych środków ochrony indywidualnej.</w:t>
      </w:r>
    </w:p>
    <w:p w:rsidR="001300DD" w:rsidRPr="00760FF0" w:rsidRDefault="001300DD" w:rsidP="001300DD">
      <w:r w:rsidRPr="00760FF0">
        <w:t>Teren budowy wyposażyć w niezbędny sprzęt do gaszenia pożaru oraz, w zależności od potrzeb, w system sygnalizacji pożarowej, dostosowany do charakteru budowy, rozmiarów i sposobu wykorzystania pomieszczeń, wyposażenia budowy, fizycznych i chemicznych właściwości substancji znajdujących się na terenie budowy, w ilości wynikającej z liczby zagrożonych osób.</w:t>
      </w:r>
    </w:p>
    <w:p w:rsidR="001300DD" w:rsidRDefault="001300DD" w:rsidP="001300DD">
      <w:r w:rsidRPr="00760FF0">
        <w:t>Ww. sprzęt do gaszenia pożaru, regularnie sprawdzać, ew. uzupełniać, zgodnie z wymaganiami producentów i przepisów przeciwpożarowych. Ilość i rozmieszczenie gaśnic przenośnych powinno być zgodne z wymaganiami przepisów przeciwpożarowych.</w:t>
      </w:r>
    </w:p>
    <w:p w:rsidR="001300DD" w:rsidRDefault="001300DD" w:rsidP="001300DD">
      <w:pPr>
        <w:rPr>
          <w:b/>
          <w:sz w:val="20"/>
        </w:rPr>
      </w:pPr>
      <w:r>
        <w:t>Bezpośredni nadzór nad bezpieczeństwem i higieną pracy na stanowiskach pracy sprawują odpowiednio kierownik budowy (kierownik rozbiórki) oraz mistrz budowlany, stosownie do zakresu obowiązków.</w:t>
      </w:r>
      <w:r>
        <w:rPr>
          <w:b/>
        </w:rPr>
        <w:t xml:space="preserve"> </w:t>
      </w:r>
    </w:p>
    <w:p w:rsidR="001300DD" w:rsidRDefault="001300DD" w:rsidP="001300DD">
      <w:r>
        <w:t>W razie stwierdzenia bezpośredniego zagrożenia dla życia lub zdrowia pracowników osoba kierująca pracownikami obowiązana jest do niezwłocznego wstrzymania robót i podjęcia działań w celu usunięcia tego zagrożenia.</w:t>
      </w:r>
    </w:p>
    <w:p w:rsidR="001300DD" w:rsidRDefault="001300DD" w:rsidP="001300DD">
      <w:r>
        <w:t>Pracownicy zatrudnieni na budowie, powinni być wyposażeni w środki ochrony indywidualnej oraz odzież i obuwie robocze zgodnie z tabelą norm przydziału środków ochrony indywidualnej oraz odzieży i obuwia roboczego, opracowaną przez pracodawcę. Środki ochrony indywidualnej w zakresie ochrony zdrowia i bezpieczeństwa użytkowników tych środków powinny zapewniać wystarczającą ochronę przed występującymi zagrożeniami (np. upadek z wysokości, uszkodzenie głowy, twarzy, wzroku, słuchu). Kierownik budowy obowiązany jest informować pracowników o sposobach posługiwania się tymi środkami.</w:t>
      </w:r>
    </w:p>
    <w:p w:rsidR="001300DD" w:rsidRPr="004A0E93" w:rsidRDefault="001300DD" w:rsidP="001300DD">
      <w:pPr>
        <w:pStyle w:val="DEMIURGNumeracja2"/>
        <w:spacing w:before="120"/>
        <w:ind w:left="567" w:hanging="567"/>
      </w:pPr>
      <w:r w:rsidRPr="004A0E93">
        <w:t>Maszyny i urządzenia techniczne użytkow</w:t>
      </w:r>
      <w:r>
        <w:t>ane na placu budowy (rozbiórki)</w:t>
      </w:r>
    </w:p>
    <w:p w:rsidR="001300DD" w:rsidRDefault="001300DD" w:rsidP="001300DD">
      <w:r>
        <w:t>Maszyny i inne urządzenia techniczne oraz narzędzia zmechanizowane powinny być montowane, eksploatowane i obsługiwane zgodnie z instrukcją producenta oraz spełniać wymagania określone w przepisach dotyczących systemu oceny zgodności. Maszyny i inne urządzenia techniczne, podlegające dozorowi technicznemu, mogą być używane na terenie budowy tylko wówczas, jeżeli wystawiono dokumenty uprawniające do ich eksploatacji. Wykonawca użytkujący maszyny i inne urządzenia techniczne, niepodlegające dozorowi technicznemu, powinien udostępnić organom kontroli dokumentację techniczno-ruchową lub instrukcję obsługi tych maszyn lub urządzeń.</w:t>
      </w:r>
    </w:p>
    <w:p w:rsidR="001300DD" w:rsidRDefault="001300DD" w:rsidP="001300DD">
      <w:r>
        <w:t>Operatorzy lub maszyniści żurawi, maszyn budowlanych, kierowcy wózków i innych maszyn o napędzie silnikowym powinni posiadać wymagane kwalifikacje.</w:t>
      </w:r>
    </w:p>
    <w:p w:rsidR="001300DD" w:rsidRPr="004A0E93" w:rsidRDefault="001300DD" w:rsidP="001300DD">
      <w:pPr>
        <w:pStyle w:val="DEMIURGNumeracja2"/>
        <w:spacing w:before="120"/>
        <w:ind w:left="567" w:hanging="567"/>
      </w:pPr>
      <w:r>
        <w:t>Osoby nieupoważnione</w:t>
      </w:r>
    </w:p>
    <w:p w:rsidR="001300DD" w:rsidRDefault="001300DD" w:rsidP="001300DD">
      <w:r>
        <w:t>Przed każdorazowym przystąpieniem do robót rozbiórkowych należy sprawdzić czy w obiekcie nie przebywają osoby nieuprawnione i w razie potwierdzenia – wyprowadzić je z terenu rozbiórki.</w:t>
      </w:r>
    </w:p>
    <w:p w:rsidR="001300DD" w:rsidRDefault="001300DD" w:rsidP="001300DD">
      <w:pPr>
        <w:pStyle w:val="DEMIURGNumeracja1"/>
        <w:keepLines w:val="0"/>
        <w:ind w:left="567" w:hanging="567"/>
      </w:pPr>
      <w:r w:rsidRPr="004A0E93">
        <w:t>Przyczyny  powstawania wypadków:</w:t>
      </w:r>
    </w:p>
    <w:p w:rsidR="001300DD" w:rsidRPr="004A0E93" w:rsidRDefault="001300DD" w:rsidP="001300DD">
      <w:pPr>
        <w:pStyle w:val="DEMIURGNumeracja2"/>
        <w:spacing w:before="120"/>
        <w:ind w:left="567" w:hanging="567"/>
      </w:pPr>
      <w:r>
        <w:t>P</w:t>
      </w:r>
      <w:r w:rsidRPr="004A0E93">
        <w:t>rzyczyny organizacyjne powstania wypadków przy pracy:</w:t>
      </w:r>
    </w:p>
    <w:p w:rsidR="001300DD" w:rsidRPr="004A0E93" w:rsidRDefault="001300DD" w:rsidP="001300DD">
      <w:pPr>
        <w:pStyle w:val="DEMIURGNumeracja3"/>
        <w:keepLines w:val="0"/>
        <w:spacing w:before="120"/>
        <w:ind w:left="0" w:firstLine="0"/>
      </w:pPr>
      <w:r>
        <w:t>N</w:t>
      </w:r>
      <w:r w:rsidRPr="004A0E93">
        <w:t>iewłaściwa ogólna organizacja pracy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nieprawidłowy podział pracy lub rozplanowanie zadań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niewłaściwe polecenia przełożonych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brak nadzoru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brak instrukcji posługiwania się czynnikiem materialnym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tolerowanie przez nadzór odstępstw od zasad bezpieczeństwa pracy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brak lub niewłaściwe przeszkolenie w zakresie bezpieczeństwa pracy i ergonomii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rFonts w:ascii="Tahoma" w:hAnsi="Tahoma" w:cs="Tahoma"/>
          <w:b w:val="0"/>
        </w:rPr>
      </w:pPr>
      <w:r w:rsidRPr="001300DD">
        <w:rPr>
          <w:b w:val="0"/>
        </w:rPr>
        <w:t>dopuszczenie do pracy człowieka z przeciwwskazaniami lub bez badań  lekarskich</w:t>
      </w:r>
    </w:p>
    <w:p w:rsidR="001300DD" w:rsidRPr="004A0E93" w:rsidRDefault="001300DD" w:rsidP="001300DD">
      <w:pPr>
        <w:pStyle w:val="DEMIURGNumeracja3"/>
        <w:keepLines w:val="0"/>
        <w:spacing w:before="120"/>
        <w:ind w:left="0" w:firstLine="0"/>
      </w:pPr>
      <w:r>
        <w:t>N</w:t>
      </w:r>
      <w:r w:rsidRPr="004A0E93">
        <w:t>iewłaściwa organizacja stanowiska pracy: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niewłaściwe usytuowanie urządzeń na stanowiskach pracy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nieodpowiednie przejścia i dojścia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brak środków ochrony indywidualnej lub niewłaściwy ich dobru</w:t>
      </w:r>
    </w:p>
    <w:p w:rsidR="001300DD" w:rsidRPr="004A0E93" w:rsidRDefault="001300DD" w:rsidP="001300DD">
      <w:pPr>
        <w:pStyle w:val="DEMIURGNumeracja3"/>
        <w:keepLines w:val="0"/>
        <w:spacing w:before="120"/>
        <w:ind w:left="0" w:firstLine="0"/>
      </w:pPr>
      <w:r>
        <w:t>P</w:t>
      </w:r>
      <w:r w:rsidRPr="004A0E93">
        <w:t>rzyczyny techniczne  powstania wypadków przy pracy: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niewłaściwy stan czynnika materialnego: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wady konstrukcyjne czynnika materialnego będące źródłem  zagrożenia,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niewłaściwa stateczność czynnika materialnego,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brak lub niewłaściwe urządzenia zabezpieczające,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brak środków ochrony zbiorowej lub niewłaściwy ich dobór,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brak lub niewłaściwa sygnalizacja zagrożeń,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niedostosowanie czynnika materialnego do transportu, konserwacji lub napraw;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niewłaściwe wykonanie czynnika materialnego: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zastosowanie materiałów zastępczych,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niedotrzymanie wymaganych parametrów technicznych;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wady materiałowe czynnika materialnego: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ukryte wady materiałowe czynnika materialnego;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niewłaściwa eksploatacja czynnika materialnego: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nadmierna eksploatacja czynnika materialnego,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niedostateczna konserwacja czynnika materialnego,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niewłaściwe naprawy i remonty czynnika materialnego.</w:t>
      </w:r>
    </w:p>
    <w:p w:rsidR="001300DD" w:rsidRPr="004A0E93" w:rsidRDefault="001300DD" w:rsidP="001300DD">
      <w:pPr>
        <w:pStyle w:val="DEMIURGNumeracja3"/>
        <w:keepLines w:val="0"/>
        <w:spacing w:before="120"/>
        <w:ind w:left="0" w:firstLine="0"/>
      </w:pPr>
      <w:r w:rsidRPr="004A0E93">
        <w:t>Osoba kierująca pracownikami jest obowiązana: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organizować stanowiska pracy zgodnie z przepisami i zasadami bezpieczeństwa i higieny pracy,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dbać o sprawność środków ochrony indywidualnej i ich stosowania zgodnie z przeznaczeniem,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organizować, przygotowywać i prowadzić prace, uwzględniając zabezpieczenie pracowników  przed wypadkami przy pracy, chorobami zawodowymi i innymi chorobami związanymi z warunkami środowiska pracy,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środków ochrony zbiorowej i ich stosowania zgodnie z przeznaczeniem.</w:t>
      </w:r>
    </w:p>
    <w:p w:rsidR="001300DD" w:rsidRDefault="001300DD" w:rsidP="001300DD"/>
    <w:p w:rsidR="001300DD" w:rsidRPr="004A0E93" w:rsidRDefault="001300DD" w:rsidP="001300DD">
      <w:r w:rsidRPr="004A0E93">
        <w:t>Strefy szczególnego zagrożenia zdrowia nie występują.</w:t>
      </w:r>
      <w:r w:rsidRPr="004A0E93">
        <w:tab/>
      </w:r>
      <w:r w:rsidRPr="004A0E93">
        <w:tab/>
      </w:r>
    </w:p>
    <w:p w:rsidR="001300DD" w:rsidRPr="004A0E93" w:rsidRDefault="001300DD" w:rsidP="001300DD">
      <w:r w:rsidRPr="004A0E93">
        <w:t>Kierownik budowy jest zobowiązany w oparciu o powyższą informację do sporządzenia planu bezpieczeństwa i ochrony zdrowia na budowie przed jej rozpoczęciem.</w:t>
      </w:r>
    </w:p>
    <w:p w:rsidR="001300DD" w:rsidRPr="00C85FE5" w:rsidRDefault="001300DD" w:rsidP="001300DD">
      <w:pPr>
        <w:pStyle w:val="DEMIURGNumeracja1"/>
        <w:keepLines w:val="0"/>
        <w:ind w:left="567" w:hanging="567"/>
      </w:pPr>
      <w:r w:rsidRPr="00C85FE5">
        <w:rPr>
          <w:rStyle w:val="DEMIURGNumeracja1Znak"/>
        </w:rPr>
        <w:t>Wskazanie miejsca przechowywania dokumentacji budowy oraz dokumentów niezbędnych do prawidłowej eksploatacji maszyn i innych urządzeń technicznych</w:t>
      </w:r>
      <w:r w:rsidRPr="00C85FE5">
        <w:t>.</w:t>
      </w:r>
    </w:p>
    <w:p w:rsidR="001300DD" w:rsidRPr="00760FF0" w:rsidRDefault="001300DD" w:rsidP="001300DD">
      <w:r w:rsidRPr="00760FF0">
        <w:t>Dokumentacja budowy oraz dokumenty niezbędne do prawidłowej eksploatacji maszyn i innych urządzeń technicznych będą przechowywane na placu budowy.</w:t>
      </w:r>
    </w:p>
    <w:p w:rsidR="001300DD" w:rsidRPr="00760FF0" w:rsidRDefault="001300DD" w:rsidP="001300DD">
      <w:pPr>
        <w:pStyle w:val="DEMIURGNumeracja1"/>
        <w:keepLines w:val="0"/>
        <w:ind w:left="567" w:hanging="567"/>
      </w:pPr>
      <w:r w:rsidRPr="00760FF0">
        <w:t>Obowiązujące przepisy i normy prawne</w:t>
      </w:r>
    </w:p>
    <w:p w:rsidR="001300DD" w:rsidRPr="00760FF0" w:rsidRDefault="001300DD" w:rsidP="001300DD">
      <w:r w:rsidRPr="00760FF0">
        <w:t>W trakcie realizacji inwestycji należy zapewnić przestrzeganie przepisów BHP i ochrony środowiska: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b w:val="0"/>
        </w:rPr>
        <w:t>Ustawa z dnia 26 czerwca 1974 r. Kodeks pracy, (tekst jedn. Dz.U. 2016 poz. 1666)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rStyle w:val="h2"/>
          <w:b w:val="0"/>
        </w:rPr>
        <w:t>Rozporządzenie Ministra Gospodarki z dnia 27 kwietnia 2000 r. w sprawie bezpieczeństwa i higieny pracy przy pracach spawalniczych (</w:t>
      </w:r>
      <w:r w:rsidRPr="001300DD">
        <w:rPr>
          <w:rStyle w:val="h1"/>
          <w:b w:val="0"/>
        </w:rPr>
        <w:t>Dz.U. 2000 nr 40 poz. 470)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rStyle w:val="h2"/>
          <w:b w:val="0"/>
        </w:rPr>
      </w:pPr>
      <w:r w:rsidRPr="001300DD">
        <w:rPr>
          <w:rStyle w:val="h2"/>
          <w:b w:val="0"/>
        </w:rPr>
        <w:t>Rozporządzenie Ministra Infrastruktury z dnia 6 lutego 2003 r. w sprawie bezpieczeństwa i higieny pracy podczas wykonywania robót budowlanych (</w:t>
      </w:r>
      <w:r w:rsidRPr="001300DD">
        <w:rPr>
          <w:rStyle w:val="h1"/>
          <w:b w:val="0"/>
        </w:rPr>
        <w:t>Dz.U. 2003 nr 47 poz. 401)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rStyle w:val="h1"/>
          <w:b w:val="0"/>
        </w:rPr>
      </w:pPr>
      <w:r w:rsidRPr="001300DD">
        <w:rPr>
          <w:rStyle w:val="h2"/>
          <w:b w:val="0"/>
        </w:rPr>
        <w:t>Rozporządzenie Ministra Pracy i Polityki Społecznej z dnia 14 marca 2000 r. w sprawie bezpieczeństwa i higieny pracy przy ręcznych pracach transportowych (</w:t>
      </w:r>
      <w:r w:rsidRPr="001300DD">
        <w:rPr>
          <w:rStyle w:val="h1"/>
          <w:b w:val="0"/>
        </w:rPr>
        <w:t>Dz.U. 2000 nr 26 poz. 313)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rStyle w:val="h1"/>
          <w:b w:val="0"/>
        </w:rPr>
      </w:pPr>
      <w:r w:rsidRPr="001300DD">
        <w:rPr>
          <w:rStyle w:val="h2"/>
          <w:b w:val="0"/>
        </w:rPr>
        <w:t>Obwieszczenie Ministra Gospodarki, Pracy i Polityki Społecznej z dnia 28 sierpnia 2003 r. w sprawie ogłoszenia jednolitego tekstu rozporządzenia Ministra Pracy i Polityki Socjalnej w sprawie ogólnych przepisów bezpieczeństwa i higieny pracy (</w:t>
      </w:r>
      <w:r w:rsidRPr="001300DD">
        <w:rPr>
          <w:rStyle w:val="h1"/>
          <w:b w:val="0"/>
        </w:rPr>
        <w:t>Dz.U. 2003 nr 169 poz. 1650)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rStyle w:val="h1"/>
          <w:b w:val="0"/>
        </w:rPr>
      </w:pPr>
      <w:r w:rsidRPr="001300DD">
        <w:rPr>
          <w:rStyle w:val="h2"/>
          <w:b w:val="0"/>
        </w:rPr>
        <w:t>Rozporządzenie Ministra Gospodarki i Pracy z dnia 27 lipca 2004 r. w sprawie szkolenia w dziedzinie bezpieczeństwa i higieny pracy (</w:t>
      </w:r>
      <w:r w:rsidRPr="001300DD">
        <w:rPr>
          <w:rStyle w:val="h1"/>
          <w:b w:val="0"/>
        </w:rPr>
        <w:t>Dz.U. 2004 nr 180 poz. 1860)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rStyle w:val="h2"/>
          <w:b w:val="0"/>
        </w:rPr>
      </w:pPr>
      <w:r w:rsidRPr="001300DD">
        <w:rPr>
          <w:rStyle w:val="h2"/>
          <w:b w:val="0"/>
        </w:rPr>
        <w:t>Rozporządzenie Ministra Gospodarki i Pracy z dnia 5 sierpnia 2005 r. w sprawie bezpieczeństwa i higieny pracy przy pracach związanych z narażeniem na hałas lub drgania mechaniczne (</w:t>
      </w:r>
      <w:r w:rsidRPr="001300DD">
        <w:rPr>
          <w:rStyle w:val="h1"/>
          <w:b w:val="0"/>
        </w:rPr>
        <w:t>Dz.U. 2005 nr 157 poz. 1318)</w:t>
      </w:r>
    </w:p>
    <w:p w:rsidR="001300DD" w:rsidRPr="001300DD" w:rsidRDefault="001300DD" w:rsidP="001300DD">
      <w:pPr>
        <w:pStyle w:val="DEMIURGPunktator1"/>
        <w:keepLines w:val="0"/>
        <w:numPr>
          <w:ilvl w:val="0"/>
          <w:numId w:val="29"/>
        </w:numPr>
        <w:spacing w:before="0" w:after="0"/>
        <w:ind w:left="851" w:hanging="284"/>
        <w:rPr>
          <w:b w:val="0"/>
        </w:rPr>
      </w:pPr>
      <w:r w:rsidRPr="001300DD">
        <w:rPr>
          <w:rStyle w:val="h2"/>
          <w:b w:val="0"/>
        </w:rPr>
        <w:t>Rozporządzenie Ministra Infrastruktury z dnia 6 lutego 2003 r. w sprawie bezpieczeństwa i higieny pracy podczas wykonywania robót budowlanych</w:t>
      </w:r>
      <w:r w:rsidRPr="001300DD">
        <w:rPr>
          <w:b w:val="0"/>
        </w:rPr>
        <w:t xml:space="preserve"> (Dz.U. 2003 Nr 47, poz. 401) </w:t>
      </w:r>
    </w:p>
    <w:p w:rsidR="001300DD" w:rsidRPr="006F58C2" w:rsidRDefault="001300DD" w:rsidP="001300DD"/>
    <w:p w:rsidR="00264BD0" w:rsidRPr="00395364" w:rsidRDefault="00264BD0" w:rsidP="001300DD">
      <w:pPr>
        <w:pStyle w:val="DEMIURGPunktator2"/>
        <w:keepLines w:val="0"/>
        <w:numPr>
          <w:ilvl w:val="0"/>
          <w:numId w:val="0"/>
        </w:numPr>
        <w:spacing w:before="0" w:after="0"/>
        <w:ind w:left="993"/>
      </w:pPr>
    </w:p>
    <w:sectPr w:rsidR="00264BD0" w:rsidRPr="00395364" w:rsidSect="008E0051">
      <w:headerReference w:type="default" r:id="rId8"/>
      <w:footerReference w:type="default" r:id="rId9"/>
      <w:pgSz w:w="11906" w:h="16838"/>
      <w:pgMar w:top="1418" w:right="1418" w:bottom="1418" w:left="1418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A7C" w:rsidRDefault="005E4A7C" w:rsidP="00DA57E3">
      <w:r>
        <w:separator/>
      </w:r>
    </w:p>
  </w:endnote>
  <w:endnote w:type="continuationSeparator" w:id="0">
    <w:p w:rsidR="005E4A7C" w:rsidRDefault="005E4A7C" w:rsidP="00DA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A94" w:rsidRPr="00395364" w:rsidRDefault="00C30A94" w:rsidP="00E423CE">
    <w:pPr>
      <w:pBdr>
        <w:top w:val="single" w:sz="4" w:space="0" w:color="auto"/>
      </w:pBdr>
      <w:ind w:left="0"/>
      <w:jc w:val="right"/>
      <w:rPr>
        <w:color w:val="A6A6A6"/>
        <w:sz w:val="2"/>
        <w:lang w:val="en-GB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3969"/>
      <w:gridCol w:w="5091"/>
    </w:tblGrid>
    <w:tr w:rsidR="00C30A94" w:rsidRPr="00C30A94" w:rsidTr="005F1DB7">
      <w:trPr>
        <w:trHeight w:val="370"/>
      </w:trPr>
      <w:tc>
        <w:tcPr>
          <w:tcW w:w="3969" w:type="dxa"/>
          <w:vAlign w:val="center"/>
        </w:tcPr>
        <w:p w:rsidR="00E423CE" w:rsidRPr="00395364" w:rsidRDefault="00C30A94" w:rsidP="00F213BC">
          <w:pPr>
            <w:ind w:left="0"/>
            <w:jc w:val="left"/>
            <w:rPr>
              <w:color w:val="A6A6A6"/>
              <w:lang w:val="en-GB"/>
            </w:rPr>
          </w:pPr>
          <w:r w:rsidRPr="00395364">
            <w:rPr>
              <w:noProof/>
              <w:color w:val="A6A6A6"/>
              <w:lang w:eastAsia="pl-PL"/>
            </w:rPr>
            <w:drawing>
              <wp:inline distT="0" distB="0" distL="0" distR="0">
                <wp:extent cx="1793293" cy="302149"/>
                <wp:effectExtent l="0" t="0" r="0" b="3175"/>
                <wp:docPr id="3" name="Obraz 11" descr="logo2 (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2 (1)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02" t="36460" r="-2902" b="40237"/>
                        <a:stretch/>
                      </pic:blipFill>
                      <pic:spPr bwMode="auto">
                        <a:xfrm>
                          <a:off x="0" y="0"/>
                          <a:ext cx="1793293" cy="3021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1" w:type="dxa"/>
          <w:vAlign w:val="center"/>
        </w:tcPr>
        <w:p w:rsidR="00E423CE" w:rsidRPr="00C30A94" w:rsidRDefault="00C30A94" w:rsidP="008E0051">
          <w:pPr>
            <w:pStyle w:val="DEMIURGstopka"/>
            <w:spacing w:line="240" w:lineRule="auto"/>
            <w:ind w:left="0"/>
          </w:pPr>
          <w:r w:rsidRPr="00C30A94">
            <w:t>Ul. Franciszka Lubeckiego 2, 60-348 Poznań</w:t>
          </w:r>
        </w:p>
        <w:p w:rsidR="00C30A94" w:rsidRPr="008E0051" w:rsidRDefault="00FE1DEB" w:rsidP="008E0051">
          <w:pPr>
            <w:pStyle w:val="DEMIURGstopka"/>
            <w:spacing w:line="240" w:lineRule="auto"/>
            <w:ind w:left="0"/>
          </w:pPr>
          <w:hyperlink r:id="rId2" w:history="1">
            <w:r w:rsidR="00C30A94" w:rsidRPr="008E0051">
              <w:rPr>
                <w:rStyle w:val="Hipercze"/>
                <w:color w:val="auto"/>
                <w:u w:val="none"/>
              </w:rPr>
              <w:t>www.demiurg.com.pl</w:t>
            </w:r>
          </w:hyperlink>
          <w:r w:rsidR="00C30A94" w:rsidRPr="008E0051">
            <w:t xml:space="preserve"> tel./fax. 0048 61 662 11 40</w:t>
          </w:r>
        </w:p>
      </w:tc>
    </w:tr>
  </w:tbl>
  <w:p w:rsidR="00F079A0" w:rsidRPr="00395364" w:rsidRDefault="00F079A0" w:rsidP="008E0051">
    <w:pPr>
      <w:pStyle w:val="DEMIURGstopka"/>
      <w:ind w:left="0"/>
      <w:jc w:val="both"/>
      <w:rPr>
        <w:color w:val="A6A6A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A7C" w:rsidRDefault="005E4A7C" w:rsidP="00DA57E3">
      <w:r>
        <w:separator/>
      </w:r>
    </w:p>
  </w:footnote>
  <w:footnote w:type="continuationSeparator" w:id="0">
    <w:p w:rsidR="005E4A7C" w:rsidRDefault="005E4A7C" w:rsidP="00DA5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CellMar>
        <w:bottom w:w="113" w:type="dxa"/>
      </w:tblCellMar>
      <w:tblLook w:val="04A0" w:firstRow="1" w:lastRow="0" w:firstColumn="1" w:lastColumn="0" w:noHBand="0" w:noVBand="1"/>
    </w:tblPr>
    <w:tblGrid>
      <w:gridCol w:w="9060"/>
    </w:tblGrid>
    <w:tr w:rsidR="008E0051" w:rsidTr="005F1DB7">
      <w:tc>
        <w:tcPr>
          <w:tcW w:w="906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E0051" w:rsidRDefault="00B534B3" w:rsidP="00264BD0">
          <w:pPr>
            <w:pStyle w:val="DEMIURGNagwek"/>
            <w:rPr>
              <w:rStyle w:val="DEMIURGNagwekZnak"/>
            </w:rPr>
          </w:pPr>
          <w:r w:rsidRPr="00830D8A">
            <w:t xml:space="preserve">BUDOWA BUDYNKU GASTRONOMICZNEGO Z WYPOŻYCZALNIĄ KIJKÓW DO NORDIC-WALKING, BUDOWA WIATY ROWEROWEJ, WIATY ŚMIETNIKOWEJ ORAZ ŚCIEŻKI PIESZO-ROWEROWEJ WRAZ Z ZAGOSPODAROWANIEM TERENU </w:t>
          </w:r>
          <w:r w:rsidRPr="00830D8A">
            <w:br/>
            <w:t>I INFRASTRUKTURĄ TECHNICZNĄ ORAZ ROZBIÓRKA ISTNIEJĄCEGO BUD. GASTRONOMICZNEGO I ISTN. BUD. TOALET W REJONIE UL. WARMIŃSKIEJ, OBR. GOLĘCIN, DZ. 18/2 W POZNANIU</w:t>
          </w:r>
        </w:p>
      </w:tc>
    </w:tr>
  </w:tbl>
  <w:p w:rsidR="008E0051" w:rsidRPr="008E0051" w:rsidRDefault="008E0051" w:rsidP="008E0051">
    <w:pPr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72068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BC49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C6B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C3672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24E4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FC8D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6C67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EA4F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BF6E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C2E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B6195"/>
    <w:multiLevelType w:val="hybridMultilevel"/>
    <w:tmpl w:val="4AE8FC18"/>
    <w:lvl w:ilvl="0" w:tplc="B0703B42">
      <w:start w:val="1"/>
      <w:numFmt w:val="decimal"/>
      <w:lvlText w:val="%1."/>
      <w:lvlJc w:val="left"/>
      <w:pPr>
        <w:ind w:left="360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5D3B91"/>
    <w:multiLevelType w:val="hybridMultilevel"/>
    <w:tmpl w:val="3BF233B6"/>
    <w:lvl w:ilvl="0" w:tplc="B8F4ED6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BE6F1B"/>
    <w:multiLevelType w:val="multilevel"/>
    <w:tmpl w:val="CFE2C8C2"/>
    <w:lvl w:ilvl="0">
      <w:start w:val="1"/>
      <w:numFmt w:val="decimal"/>
      <w:pStyle w:val="DEMIURGNumeracja1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16"/>
        <w:szCs w:val="16"/>
      </w:rPr>
    </w:lvl>
    <w:lvl w:ilvl="1">
      <w:start w:val="1"/>
      <w:numFmt w:val="decimal"/>
      <w:pStyle w:val="DEMIURGNumeracja2"/>
      <w:lvlText w:val="%1.%2."/>
      <w:lvlJc w:val="left"/>
      <w:pPr>
        <w:ind w:left="792" w:hanging="432"/>
      </w:pPr>
    </w:lvl>
    <w:lvl w:ilvl="2">
      <w:start w:val="1"/>
      <w:numFmt w:val="decimal"/>
      <w:pStyle w:val="DEMIURGNumeracja3"/>
      <w:lvlText w:val="%1.%2.%3."/>
      <w:lvlJc w:val="left"/>
      <w:pPr>
        <w:ind w:left="1639" w:hanging="504"/>
      </w:pPr>
    </w:lvl>
    <w:lvl w:ilvl="3">
      <w:start w:val="1"/>
      <w:numFmt w:val="decimal"/>
      <w:pStyle w:val="DEMIURG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57334A"/>
    <w:multiLevelType w:val="hybridMultilevel"/>
    <w:tmpl w:val="FAC4F712"/>
    <w:lvl w:ilvl="0" w:tplc="0A9A27F8">
      <w:start w:val="1"/>
      <w:numFmt w:val="bullet"/>
      <w:pStyle w:val="DEMIURGPunktator2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FB3BB0"/>
    <w:multiLevelType w:val="hybridMultilevel"/>
    <w:tmpl w:val="EAAEAE32"/>
    <w:lvl w:ilvl="0" w:tplc="40ECF822">
      <w:start w:val="1"/>
      <w:numFmt w:val="upperLetter"/>
      <w:pStyle w:val="Nagwek1"/>
      <w:lvlText w:val="CZĘŚĆ %1."/>
      <w:lvlJc w:val="left"/>
      <w:pPr>
        <w:ind w:left="928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648" w:hanging="360"/>
      </w:pPr>
    </w:lvl>
    <w:lvl w:ilvl="2" w:tplc="04150005">
      <w:start w:val="1"/>
      <w:numFmt w:val="lowerRoman"/>
      <w:lvlText w:val="%3."/>
      <w:lvlJc w:val="right"/>
      <w:pPr>
        <w:ind w:left="2368" w:hanging="180"/>
      </w:pPr>
    </w:lvl>
    <w:lvl w:ilvl="3" w:tplc="04150001">
      <w:start w:val="1"/>
      <w:numFmt w:val="decimal"/>
      <w:lvlText w:val="%4."/>
      <w:lvlJc w:val="left"/>
      <w:pPr>
        <w:ind w:left="3088" w:hanging="360"/>
      </w:pPr>
    </w:lvl>
    <w:lvl w:ilvl="4" w:tplc="04150003">
      <w:start w:val="1"/>
      <w:numFmt w:val="lowerLetter"/>
      <w:lvlText w:val="%5."/>
      <w:lvlJc w:val="left"/>
      <w:pPr>
        <w:ind w:left="3808" w:hanging="360"/>
      </w:pPr>
    </w:lvl>
    <w:lvl w:ilvl="5" w:tplc="04150005">
      <w:start w:val="1"/>
      <w:numFmt w:val="lowerRoman"/>
      <w:lvlText w:val="%6."/>
      <w:lvlJc w:val="right"/>
      <w:pPr>
        <w:ind w:left="4528" w:hanging="180"/>
      </w:pPr>
    </w:lvl>
    <w:lvl w:ilvl="6" w:tplc="04150001">
      <w:start w:val="1"/>
      <w:numFmt w:val="decimal"/>
      <w:lvlText w:val="%7."/>
      <w:lvlJc w:val="left"/>
      <w:pPr>
        <w:ind w:left="5248" w:hanging="360"/>
      </w:pPr>
    </w:lvl>
    <w:lvl w:ilvl="7" w:tplc="04150003">
      <w:start w:val="1"/>
      <w:numFmt w:val="lowerLetter"/>
      <w:lvlText w:val="%8."/>
      <w:lvlJc w:val="left"/>
      <w:pPr>
        <w:ind w:left="5968" w:hanging="360"/>
      </w:pPr>
    </w:lvl>
    <w:lvl w:ilvl="8" w:tplc="04150005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BA46E13"/>
    <w:multiLevelType w:val="hybridMultilevel"/>
    <w:tmpl w:val="3A5430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84D2205"/>
    <w:multiLevelType w:val="hybridMultilevel"/>
    <w:tmpl w:val="9FE253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9BC18F6"/>
    <w:multiLevelType w:val="hybridMultilevel"/>
    <w:tmpl w:val="D6D085A6"/>
    <w:lvl w:ilvl="0" w:tplc="DFDEC3D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519B5"/>
    <w:multiLevelType w:val="hybridMultilevel"/>
    <w:tmpl w:val="0E1C8366"/>
    <w:lvl w:ilvl="0" w:tplc="54BC1C44">
      <w:start w:val="7"/>
      <w:numFmt w:val="upperRoman"/>
      <w:pStyle w:val="Nagwek2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13270"/>
    <w:multiLevelType w:val="hybridMultilevel"/>
    <w:tmpl w:val="0C3E16F4"/>
    <w:lvl w:ilvl="0" w:tplc="E786954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0404E"/>
    <w:multiLevelType w:val="hybridMultilevel"/>
    <w:tmpl w:val="EAFC5F10"/>
    <w:lvl w:ilvl="0" w:tplc="742E9762">
      <w:start w:val="1"/>
      <w:numFmt w:val="bullet"/>
      <w:pStyle w:val="DEMIURGPunktator1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C3BAF"/>
    <w:multiLevelType w:val="multilevel"/>
    <w:tmpl w:val="BCC2F7BC"/>
    <w:styleLink w:val="Styl1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2" w15:restartNumberingAfterBreak="0">
    <w:nsid w:val="60710E43"/>
    <w:multiLevelType w:val="hybridMultilevel"/>
    <w:tmpl w:val="4A9E18FC"/>
    <w:lvl w:ilvl="0" w:tplc="628277F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16F87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71064B1"/>
    <w:multiLevelType w:val="hybridMultilevel"/>
    <w:tmpl w:val="61382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79B5411"/>
    <w:multiLevelType w:val="hybridMultilevel"/>
    <w:tmpl w:val="CCBE36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B7F059C"/>
    <w:multiLevelType w:val="hybridMultilevel"/>
    <w:tmpl w:val="2EF0FFFC"/>
    <w:lvl w:ilvl="0" w:tplc="49B6468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FF" w:themeColor="hyperlink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BFB3252"/>
    <w:multiLevelType w:val="hybridMultilevel"/>
    <w:tmpl w:val="C7BE6E0E"/>
    <w:lvl w:ilvl="0" w:tplc="8FB8F6C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21"/>
  </w:num>
  <w:num w:numId="4">
    <w:abstractNumId w:val="12"/>
  </w:num>
  <w:num w:numId="5">
    <w:abstractNumId w:val="20"/>
  </w:num>
  <w:num w:numId="6">
    <w:abstractNumId w:val="13"/>
  </w:num>
  <w:num w:numId="7">
    <w:abstractNumId w:val="19"/>
  </w:num>
  <w:num w:numId="8">
    <w:abstractNumId w:val="16"/>
  </w:num>
  <w:num w:numId="9">
    <w:abstractNumId w:val="15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20"/>
  </w:num>
  <w:num w:numId="21">
    <w:abstractNumId w:val="20"/>
  </w:num>
  <w:num w:numId="22">
    <w:abstractNumId w:val="17"/>
  </w:num>
  <w:num w:numId="23">
    <w:abstractNumId w:val="23"/>
  </w:num>
  <w:num w:numId="24">
    <w:abstractNumId w:val="10"/>
  </w:num>
  <w:num w:numId="25">
    <w:abstractNumId w:val="26"/>
  </w:num>
  <w:num w:numId="26">
    <w:abstractNumId w:val="22"/>
  </w:num>
  <w:num w:numId="27">
    <w:abstractNumId w:val="25"/>
  </w:num>
  <w:num w:numId="28">
    <w:abstractNumId w:val="24"/>
  </w:num>
  <w:num w:numId="29">
    <w:abstractNumId w:val="27"/>
  </w:num>
  <w:num w:numId="30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SortMethod w:val="0000"/>
  <w:defaultTabStop w:val="709"/>
  <w:hyphenationZone w:val="425"/>
  <w:doNotHyphenateCaps/>
  <w:drawingGridHorizontalSpacing w:val="8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833"/>
    <w:rsid w:val="00003ACD"/>
    <w:rsid w:val="000069BD"/>
    <w:rsid w:val="00013722"/>
    <w:rsid w:val="0003063B"/>
    <w:rsid w:val="00031860"/>
    <w:rsid w:val="00031B14"/>
    <w:rsid w:val="000353B2"/>
    <w:rsid w:val="00036DA6"/>
    <w:rsid w:val="000404CE"/>
    <w:rsid w:val="00056D9F"/>
    <w:rsid w:val="00062D9A"/>
    <w:rsid w:val="00064908"/>
    <w:rsid w:val="000718D9"/>
    <w:rsid w:val="00071B4C"/>
    <w:rsid w:val="0007529C"/>
    <w:rsid w:val="000778F4"/>
    <w:rsid w:val="00081135"/>
    <w:rsid w:val="00083DBA"/>
    <w:rsid w:val="000845A1"/>
    <w:rsid w:val="0008512A"/>
    <w:rsid w:val="00087D56"/>
    <w:rsid w:val="00091AA6"/>
    <w:rsid w:val="00092D25"/>
    <w:rsid w:val="00092D90"/>
    <w:rsid w:val="00096FC0"/>
    <w:rsid w:val="000A275E"/>
    <w:rsid w:val="000A4B48"/>
    <w:rsid w:val="000B1AB9"/>
    <w:rsid w:val="000C6EEE"/>
    <w:rsid w:val="000C7D2B"/>
    <w:rsid w:val="000D64AB"/>
    <w:rsid w:val="000D7460"/>
    <w:rsid w:val="000F0051"/>
    <w:rsid w:val="000F1AD0"/>
    <w:rsid w:val="000F6442"/>
    <w:rsid w:val="00110BAB"/>
    <w:rsid w:val="001220BD"/>
    <w:rsid w:val="00126435"/>
    <w:rsid w:val="001300DD"/>
    <w:rsid w:val="00132063"/>
    <w:rsid w:val="00132BC2"/>
    <w:rsid w:val="00132D54"/>
    <w:rsid w:val="00135FF9"/>
    <w:rsid w:val="00156EAA"/>
    <w:rsid w:val="00157B3A"/>
    <w:rsid w:val="00161414"/>
    <w:rsid w:val="0017398C"/>
    <w:rsid w:val="0017414F"/>
    <w:rsid w:val="001749DF"/>
    <w:rsid w:val="0017589D"/>
    <w:rsid w:val="0017596B"/>
    <w:rsid w:val="00175CA2"/>
    <w:rsid w:val="001766F2"/>
    <w:rsid w:val="00176B0F"/>
    <w:rsid w:val="00184A85"/>
    <w:rsid w:val="00187714"/>
    <w:rsid w:val="001A2097"/>
    <w:rsid w:val="001A7192"/>
    <w:rsid w:val="001B1A23"/>
    <w:rsid w:val="001B6BC1"/>
    <w:rsid w:val="001C3A03"/>
    <w:rsid w:val="001C47E0"/>
    <w:rsid w:val="001D5D74"/>
    <w:rsid w:val="001F10B4"/>
    <w:rsid w:val="002037DB"/>
    <w:rsid w:val="00207680"/>
    <w:rsid w:val="002078A3"/>
    <w:rsid w:val="00221661"/>
    <w:rsid w:val="00221C5C"/>
    <w:rsid w:val="00223B61"/>
    <w:rsid w:val="00223FB1"/>
    <w:rsid w:val="002310B5"/>
    <w:rsid w:val="00235137"/>
    <w:rsid w:val="00236781"/>
    <w:rsid w:val="00241B2B"/>
    <w:rsid w:val="00242EDA"/>
    <w:rsid w:val="00245B1C"/>
    <w:rsid w:val="00246D4B"/>
    <w:rsid w:val="0025300F"/>
    <w:rsid w:val="0025467F"/>
    <w:rsid w:val="002573BC"/>
    <w:rsid w:val="0025795B"/>
    <w:rsid w:val="00257AF7"/>
    <w:rsid w:val="002634C7"/>
    <w:rsid w:val="00264BD0"/>
    <w:rsid w:val="00273581"/>
    <w:rsid w:val="002775F7"/>
    <w:rsid w:val="002800E4"/>
    <w:rsid w:val="00280F58"/>
    <w:rsid w:val="00281060"/>
    <w:rsid w:val="00282381"/>
    <w:rsid w:val="0029383F"/>
    <w:rsid w:val="00296554"/>
    <w:rsid w:val="00296F8C"/>
    <w:rsid w:val="002A2F48"/>
    <w:rsid w:val="002A58E0"/>
    <w:rsid w:val="002A6A93"/>
    <w:rsid w:val="002C2F84"/>
    <w:rsid w:val="002C6ABC"/>
    <w:rsid w:val="002D177B"/>
    <w:rsid w:val="002D4FA5"/>
    <w:rsid w:val="002E04FC"/>
    <w:rsid w:val="002E1FF2"/>
    <w:rsid w:val="002E2C84"/>
    <w:rsid w:val="002F3BD9"/>
    <w:rsid w:val="002F5320"/>
    <w:rsid w:val="002F7CE5"/>
    <w:rsid w:val="00301C3E"/>
    <w:rsid w:val="00307990"/>
    <w:rsid w:val="00313D5A"/>
    <w:rsid w:val="00322B32"/>
    <w:rsid w:val="003230DF"/>
    <w:rsid w:val="00323AF3"/>
    <w:rsid w:val="00330BFB"/>
    <w:rsid w:val="00334B5E"/>
    <w:rsid w:val="003361E1"/>
    <w:rsid w:val="003366E1"/>
    <w:rsid w:val="00336F6A"/>
    <w:rsid w:val="00340796"/>
    <w:rsid w:val="003414FC"/>
    <w:rsid w:val="00352E88"/>
    <w:rsid w:val="00354EEE"/>
    <w:rsid w:val="0038038C"/>
    <w:rsid w:val="00390DF8"/>
    <w:rsid w:val="0039303C"/>
    <w:rsid w:val="00395364"/>
    <w:rsid w:val="003A1844"/>
    <w:rsid w:val="003A1A04"/>
    <w:rsid w:val="003A418C"/>
    <w:rsid w:val="003A7B15"/>
    <w:rsid w:val="003B3B7F"/>
    <w:rsid w:val="003C4186"/>
    <w:rsid w:val="003C6235"/>
    <w:rsid w:val="003D359D"/>
    <w:rsid w:val="003E4E25"/>
    <w:rsid w:val="003E56CA"/>
    <w:rsid w:val="003F0CC3"/>
    <w:rsid w:val="003F1D17"/>
    <w:rsid w:val="003F460D"/>
    <w:rsid w:val="0040060C"/>
    <w:rsid w:val="00404E13"/>
    <w:rsid w:val="00407AD5"/>
    <w:rsid w:val="00411CF9"/>
    <w:rsid w:val="00433961"/>
    <w:rsid w:val="004406B3"/>
    <w:rsid w:val="004522D3"/>
    <w:rsid w:val="004557EA"/>
    <w:rsid w:val="004659D0"/>
    <w:rsid w:val="004809E4"/>
    <w:rsid w:val="00493DBF"/>
    <w:rsid w:val="0049686B"/>
    <w:rsid w:val="004B5409"/>
    <w:rsid w:val="004C7650"/>
    <w:rsid w:val="004D17BB"/>
    <w:rsid w:val="004E0EEC"/>
    <w:rsid w:val="004E38C6"/>
    <w:rsid w:val="004E653D"/>
    <w:rsid w:val="004E77D9"/>
    <w:rsid w:val="004F07B0"/>
    <w:rsid w:val="004F70EC"/>
    <w:rsid w:val="00501E90"/>
    <w:rsid w:val="00510411"/>
    <w:rsid w:val="00514821"/>
    <w:rsid w:val="00517DBA"/>
    <w:rsid w:val="00521051"/>
    <w:rsid w:val="00522778"/>
    <w:rsid w:val="0052586F"/>
    <w:rsid w:val="00535332"/>
    <w:rsid w:val="00537564"/>
    <w:rsid w:val="005510E4"/>
    <w:rsid w:val="00554BBF"/>
    <w:rsid w:val="00556257"/>
    <w:rsid w:val="0055683F"/>
    <w:rsid w:val="00562E83"/>
    <w:rsid w:val="00572101"/>
    <w:rsid w:val="00574E43"/>
    <w:rsid w:val="00575688"/>
    <w:rsid w:val="00581F14"/>
    <w:rsid w:val="00582176"/>
    <w:rsid w:val="005850E8"/>
    <w:rsid w:val="00585FB2"/>
    <w:rsid w:val="00590359"/>
    <w:rsid w:val="00595A80"/>
    <w:rsid w:val="005A03C6"/>
    <w:rsid w:val="005C2521"/>
    <w:rsid w:val="005C4C02"/>
    <w:rsid w:val="005D0BAA"/>
    <w:rsid w:val="005D510A"/>
    <w:rsid w:val="005E00F1"/>
    <w:rsid w:val="005E1980"/>
    <w:rsid w:val="005E1C78"/>
    <w:rsid w:val="005E2EE7"/>
    <w:rsid w:val="005E4A7C"/>
    <w:rsid w:val="005E760B"/>
    <w:rsid w:val="005F1DB7"/>
    <w:rsid w:val="005F6053"/>
    <w:rsid w:val="00601F65"/>
    <w:rsid w:val="00606E4A"/>
    <w:rsid w:val="00615762"/>
    <w:rsid w:val="00617312"/>
    <w:rsid w:val="006224CF"/>
    <w:rsid w:val="00622743"/>
    <w:rsid w:val="00622C01"/>
    <w:rsid w:val="00623F39"/>
    <w:rsid w:val="00625E37"/>
    <w:rsid w:val="006260AE"/>
    <w:rsid w:val="00626359"/>
    <w:rsid w:val="00630646"/>
    <w:rsid w:val="0063211D"/>
    <w:rsid w:val="00636332"/>
    <w:rsid w:val="00642595"/>
    <w:rsid w:val="006501F8"/>
    <w:rsid w:val="00651BCB"/>
    <w:rsid w:val="00651FD0"/>
    <w:rsid w:val="006579CA"/>
    <w:rsid w:val="00663054"/>
    <w:rsid w:val="006751BA"/>
    <w:rsid w:val="00675AB4"/>
    <w:rsid w:val="00675B47"/>
    <w:rsid w:val="0068004F"/>
    <w:rsid w:val="00683060"/>
    <w:rsid w:val="00687164"/>
    <w:rsid w:val="00693B1A"/>
    <w:rsid w:val="00694322"/>
    <w:rsid w:val="00694E66"/>
    <w:rsid w:val="006959C2"/>
    <w:rsid w:val="00695CBC"/>
    <w:rsid w:val="006A3EBE"/>
    <w:rsid w:val="006B2FD7"/>
    <w:rsid w:val="006C4297"/>
    <w:rsid w:val="006C4800"/>
    <w:rsid w:val="006D1E6D"/>
    <w:rsid w:val="006E0011"/>
    <w:rsid w:val="006E0AD2"/>
    <w:rsid w:val="006E1562"/>
    <w:rsid w:val="006E3AA9"/>
    <w:rsid w:val="006E41AD"/>
    <w:rsid w:val="006E6BF8"/>
    <w:rsid w:val="006F1D4C"/>
    <w:rsid w:val="006F4344"/>
    <w:rsid w:val="006F4E5E"/>
    <w:rsid w:val="006F57B7"/>
    <w:rsid w:val="006F7484"/>
    <w:rsid w:val="007007FA"/>
    <w:rsid w:val="00704ED9"/>
    <w:rsid w:val="00710132"/>
    <w:rsid w:val="00724399"/>
    <w:rsid w:val="00726486"/>
    <w:rsid w:val="00732E43"/>
    <w:rsid w:val="00735176"/>
    <w:rsid w:val="00735F17"/>
    <w:rsid w:val="00737833"/>
    <w:rsid w:val="007424F1"/>
    <w:rsid w:val="00742589"/>
    <w:rsid w:val="007468CF"/>
    <w:rsid w:val="0075108E"/>
    <w:rsid w:val="00751295"/>
    <w:rsid w:val="00754E87"/>
    <w:rsid w:val="007555E7"/>
    <w:rsid w:val="00755AC0"/>
    <w:rsid w:val="00757B7C"/>
    <w:rsid w:val="007600D6"/>
    <w:rsid w:val="00760FF0"/>
    <w:rsid w:val="00762068"/>
    <w:rsid w:val="00762BEF"/>
    <w:rsid w:val="00765B1A"/>
    <w:rsid w:val="00767276"/>
    <w:rsid w:val="0076730A"/>
    <w:rsid w:val="007703A9"/>
    <w:rsid w:val="00771E18"/>
    <w:rsid w:val="00773695"/>
    <w:rsid w:val="007736D8"/>
    <w:rsid w:val="00775996"/>
    <w:rsid w:val="00784468"/>
    <w:rsid w:val="00790EE4"/>
    <w:rsid w:val="007932F4"/>
    <w:rsid w:val="007956CF"/>
    <w:rsid w:val="0079615D"/>
    <w:rsid w:val="007B1127"/>
    <w:rsid w:val="007B517B"/>
    <w:rsid w:val="007C0292"/>
    <w:rsid w:val="007C534E"/>
    <w:rsid w:val="007D1074"/>
    <w:rsid w:val="007D115B"/>
    <w:rsid w:val="007D1E66"/>
    <w:rsid w:val="007D5901"/>
    <w:rsid w:val="007D5FAF"/>
    <w:rsid w:val="007E093F"/>
    <w:rsid w:val="007E2CA5"/>
    <w:rsid w:val="007E30DD"/>
    <w:rsid w:val="007E3E9B"/>
    <w:rsid w:val="007F15DF"/>
    <w:rsid w:val="00800A8C"/>
    <w:rsid w:val="00803003"/>
    <w:rsid w:val="00803CA6"/>
    <w:rsid w:val="0080468E"/>
    <w:rsid w:val="00806BBA"/>
    <w:rsid w:val="00811619"/>
    <w:rsid w:val="00816DC3"/>
    <w:rsid w:val="00821A83"/>
    <w:rsid w:val="00821EC1"/>
    <w:rsid w:val="0082319D"/>
    <w:rsid w:val="00826F43"/>
    <w:rsid w:val="00841ED4"/>
    <w:rsid w:val="008424A1"/>
    <w:rsid w:val="00852CCC"/>
    <w:rsid w:val="0086514B"/>
    <w:rsid w:val="00865F47"/>
    <w:rsid w:val="008671D5"/>
    <w:rsid w:val="008679D4"/>
    <w:rsid w:val="0087449C"/>
    <w:rsid w:val="00875EC3"/>
    <w:rsid w:val="008804C7"/>
    <w:rsid w:val="0088075D"/>
    <w:rsid w:val="0088318E"/>
    <w:rsid w:val="00894A2F"/>
    <w:rsid w:val="008A3C68"/>
    <w:rsid w:val="008A5972"/>
    <w:rsid w:val="008B4AD5"/>
    <w:rsid w:val="008C0219"/>
    <w:rsid w:val="008C4E59"/>
    <w:rsid w:val="008E0051"/>
    <w:rsid w:val="008E6CA4"/>
    <w:rsid w:val="008F1668"/>
    <w:rsid w:val="008F461B"/>
    <w:rsid w:val="008F6088"/>
    <w:rsid w:val="009005CD"/>
    <w:rsid w:val="00905F6E"/>
    <w:rsid w:val="00921E26"/>
    <w:rsid w:val="00923B5A"/>
    <w:rsid w:val="009243F9"/>
    <w:rsid w:val="00925FEE"/>
    <w:rsid w:val="0093075F"/>
    <w:rsid w:val="00932E95"/>
    <w:rsid w:val="0093344D"/>
    <w:rsid w:val="00937930"/>
    <w:rsid w:val="00940A29"/>
    <w:rsid w:val="009455BB"/>
    <w:rsid w:val="00952805"/>
    <w:rsid w:val="00952FDA"/>
    <w:rsid w:val="00954A11"/>
    <w:rsid w:val="00956A3A"/>
    <w:rsid w:val="00962B54"/>
    <w:rsid w:val="00963574"/>
    <w:rsid w:val="00971F62"/>
    <w:rsid w:val="009742CE"/>
    <w:rsid w:val="00982346"/>
    <w:rsid w:val="00982677"/>
    <w:rsid w:val="00985CD6"/>
    <w:rsid w:val="00990873"/>
    <w:rsid w:val="009914A6"/>
    <w:rsid w:val="00997FE1"/>
    <w:rsid w:val="009A55CD"/>
    <w:rsid w:val="009A672E"/>
    <w:rsid w:val="009B04C6"/>
    <w:rsid w:val="009B15D9"/>
    <w:rsid w:val="009B4397"/>
    <w:rsid w:val="009B4AEE"/>
    <w:rsid w:val="009C2555"/>
    <w:rsid w:val="009C281E"/>
    <w:rsid w:val="009C2B9A"/>
    <w:rsid w:val="009C30DC"/>
    <w:rsid w:val="009C3D9C"/>
    <w:rsid w:val="009D0994"/>
    <w:rsid w:val="009E3678"/>
    <w:rsid w:val="009E6BDE"/>
    <w:rsid w:val="009F225B"/>
    <w:rsid w:val="009F5FE3"/>
    <w:rsid w:val="00A034FB"/>
    <w:rsid w:val="00A1037A"/>
    <w:rsid w:val="00A15231"/>
    <w:rsid w:val="00A156E3"/>
    <w:rsid w:val="00A15DCA"/>
    <w:rsid w:val="00A16CB6"/>
    <w:rsid w:val="00A179BF"/>
    <w:rsid w:val="00A22C83"/>
    <w:rsid w:val="00A23CEC"/>
    <w:rsid w:val="00A27207"/>
    <w:rsid w:val="00A43185"/>
    <w:rsid w:val="00A468AC"/>
    <w:rsid w:val="00A643B6"/>
    <w:rsid w:val="00A64DD8"/>
    <w:rsid w:val="00A6587C"/>
    <w:rsid w:val="00A65C3B"/>
    <w:rsid w:val="00A67DE6"/>
    <w:rsid w:val="00A73EA0"/>
    <w:rsid w:val="00A777F3"/>
    <w:rsid w:val="00A82563"/>
    <w:rsid w:val="00A82622"/>
    <w:rsid w:val="00A86A0C"/>
    <w:rsid w:val="00A90563"/>
    <w:rsid w:val="00A912F1"/>
    <w:rsid w:val="00AA0504"/>
    <w:rsid w:val="00AB6E04"/>
    <w:rsid w:val="00AB6E4B"/>
    <w:rsid w:val="00AB7572"/>
    <w:rsid w:val="00AC0356"/>
    <w:rsid w:val="00AC3B39"/>
    <w:rsid w:val="00AC526F"/>
    <w:rsid w:val="00AC6CEC"/>
    <w:rsid w:val="00AE6815"/>
    <w:rsid w:val="00AF2380"/>
    <w:rsid w:val="00AF48C3"/>
    <w:rsid w:val="00B01125"/>
    <w:rsid w:val="00B05A43"/>
    <w:rsid w:val="00B07300"/>
    <w:rsid w:val="00B13CD2"/>
    <w:rsid w:val="00B25ED5"/>
    <w:rsid w:val="00B32F14"/>
    <w:rsid w:val="00B4245A"/>
    <w:rsid w:val="00B44CE9"/>
    <w:rsid w:val="00B461BF"/>
    <w:rsid w:val="00B4710C"/>
    <w:rsid w:val="00B534B3"/>
    <w:rsid w:val="00B5520B"/>
    <w:rsid w:val="00B572B7"/>
    <w:rsid w:val="00B6507E"/>
    <w:rsid w:val="00B6564C"/>
    <w:rsid w:val="00B7559C"/>
    <w:rsid w:val="00B762B9"/>
    <w:rsid w:val="00B76E0E"/>
    <w:rsid w:val="00B80605"/>
    <w:rsid w:val="00B80C9D"/>
    <w:rsid w:val="00B8161A"/>
    <w:rsid w:val="00B84527"/>
    <w:rsid w:val="00B85C8E"/>
    <w:rsid w:val="00B90CD3"/>
    <w:rsid w:val="00B915CC"/>
    <w:rsid w:val="00B94802"/>
    <w:rsid w:val="00BA1D0C"/>
    <w:rsid w:val="00BB1778"/>
    <w:rsid w:val="00BB42E7"/>
    <w:rsid w:val="00BC0BCC"/>
    <w:rsid w:val="00BC1170"/>
    <w:rsid w:val="00BC181E"/>
    <w:rsid w:val="00BC45C7"/>
    <w:rsid w:val="00BD2A0A"/>
    <w:rsid w:val="00BD5EE8"/>
    <w:rsid w:val="00BD7BBC"/>
    <w:rsid w:val="00BE2E51"/>
    <w:rsid w:val="00BE496D"/>
    <w:rsid w:val="00BF0BA3"/>
    <w:rsid w:val="00C07DE0"/>
    <w:rsid w:val="00C119D1"/>
    <w:rsid w:val="00C13388"/>
    <w:rsid w:val="00C17C21"/>
    <w:rsid w:val="00C21372"/>
    <w:rsid w:val="00C23341"/>
    <w:rsid w:val="00C30A94"/>
    <w:rsid w:val="00C5148C"/>
    <w:rsid w:val="00C53C3E"/>
    <w:rsid w:val="00C548F4"/>
    <w:rsid w:val="00C606B6"/>
    <w:rsid w:val="00C61B6B"/>
    <w:rsid w:val="00C62EE4"/>
    <w:rsid w:val="00C643AC"/>
    <w:rsid w:val="00C7208F"/>
    <w:rsid w:val="00C856DE"/>
    <w:rsid w:val="00CA4DE7"/>
    <w:rsid w:val="00CB178A"/>
    <w:rsid w:val="00CB1BB5"/>
    <w:rsid w:val="00CB5C1A"/>
    <w:rsid w:val="00CB7DE9"/>
    <w:rsid w:val="00CC6F96"/>
    <w:rsid w:val="00CD3FBA"/>
    <w:rsid w:val="00CD501C"/>
    <w:rsid w:val="00CD6E9A"/>
    <w:rsid w:val="00CD7EB8"/>
    <w:rsid w:val="00CE4152"/>
    <w:rsid w:val="00CF4643"/>
    <w:rsid w:val="00D031E8"/>
    <w:rsid w:val="00D1503B"/>
    <w:rsid w:val="00D15B50"/>
    <w:rsid w:val="00D175D1"/>
    <w:rsid w:val="00D17DDC"/>
    <w:rsid w:val="00D22E22"/>
    <w:rsid w:val="00D2773B"/>
    <w:rsid w:val="00D327DC"/>
    <w:rsid w:val="00D422B7"/>
    <w:rsid w:val="00D46944"/>
    <w:rsid w:val="00D47A5B"/>
    <w:rsid w:val="00D51DF6"/>
    <w:rsid w:val="00D55576"/>
    <w:rsid w:val="00D5751D"/>
    <w:rsid w:val="00D61011"/>
    <w:rsid w:val="00D61453"/>
    <w:rsid w:val="00D61EA6"/>
    <w:rsid w:val="00D62079"/>
    <w:rsid w:val="00D650A1"/>
    <w:rsid w:val="00D67D45"/>
    <w:rsid w:val="00D70A40"/>
    <w:rsid w:val="00D73304"/>
    <w:rsid w:val="00D737D2"/>
    <w:rsid w:val="00D83D05"/>
    <w:rsid w:val="00D91B2C"/>
    <w:rsid w:val="00D96DE9"/>
    <w:rsid w:val="00DA57E3"/>
    <w:rsid w:val="00DA5E6A"/>
    <w:rsid w:val="00DB75B4"/>
    <w:rsid w:val="00DB7F83"/>
    <w:rsid w:val="00DC07C4"/>
    <w:rsid w:val="00DD4997"/>
    <w:rsid w:val="00DF1306"/>
    <w:rsid w:val="00DF20A4"/>
    <w:rsid w:val="00E003EB"/>
    <w:rsid w:val="00E01233"/>
    <w:rsid w:val="00E07ECD"/>
    <w:rsid w:val="00E147CF"/>
    <w:rsid w:val="00E15AC2"/>
    <w:rsid w:val="00E17556"/>
    <w:rsid w:val="00E27D1B"/>
    <w:rsid w:val="00E32C2D"/>
    <w:rsid w:val="00E34F45"/>
    <w:rsid w:val="00E35F6C"/>
    <w:rsid w:val="00E423CE"/>
    <w:rsid w:val="00E43C12"/>
    <w:rsid w:val="00E524EF"/>
    <w:rsid w:val="00E553C4"/>
    <w:rsid w:val="00E55DB9"/>
    <w:rsid w:val="00E57413"/>
    <w:rsid w:val="00E6109A"/>
    <w:rsid w:val="00E65B73"/>
    <w:rsid w:val="00E72242"/>
    <w:rsid w:val="00E73EB9"/>
    <w:rsid w:val="00E80A74"/>
    <w:rsid w:val="00E82164"/>
    <w:rsid w:val="00E87D62"/>
    <w:rsid w:val="00E9226A"/>
    <w:rsid w:val="00E97C17"/>
    <w:rsid w:val="00EA494E"/>
    <w:rsid w:val="00EA5C33"/>
    <w:rsid w:val="00EB2706"/>
    <w:rsid w:val="00EB4238"/>
    <w:rsid w:val="00EB5E11"/>
    <w:rsid w:val="00EB78CB"/>
    <w:rsid w:val="00EC05D9"/>
    <w:rsid w:val="00EC1DB6"/>
    <w:rsid w:val="00ED2BF8"/>
    <w:rsid w:val="00EE1B69"/>
    <w:rsid w:val="00EE239F"/>
    <w:rsid w:val="00EE24C6"/>
    <w:rsid w:val="00EF3A7C"/>
    <w:rsid w:val="00EF4DF3"/>
    <w:rsid w:val="00EF6D84"/>
    <w:rsid w:val="00F01C34"/>
    <w:rsid w:val="00F079A0"/>
    <w:rsid w:val="00F11F2A"/>
    <w:rsid w:val="00F13E58"/>
    <w:rsid w:val="00F1635D"/>
    <w:rsid w:val="00F16862"/>
    <w:rsid w:val="00F174E6"/>
    <w:rsid w:val="00F213BC"/>
    <w:rsid w:val="00F21723"/>
    <w:rsid w:val="00F26902"/>
    <w:rsid w:val="00F2765A"/>
    <w:rsid w:val="00F30A5C"/>
    <w:rsid w:val="00F37742"/>
    <w:rsid w:val="00F403BF"/>
    <w:rsid w:val="00F43549"/>
    <w:rsid w:val="00F61AA5"/>
    <w:rsid w:val="00F63E57"/>
    <w:rsid w:val="00F64210"/>
    <w:rsid w:val="00F773A8"/>
    <w:rsid w:val="00F81BF9"/>
    <w:rsid w:val="00F82CDC"/>
    <w:rsid w:val="00F85450"/>
    <w:rsid w:val="00F8693F"/>
    <w:rsid w:val="00F87697"/>
    <w:rsid w:val="00F90058"/>
    <w:rsid w:val="00F90997"/>
    <w:rsid w:val="00F91EBF"/>
    <w:rsid w:val="00F941A8"/>
    <w:rsid w:val="00FC2721"/>
    <w:rsid w:val="00FD236D"/>
    <w:rsid w:val="00FD4706"/>
    <w:rsid w:val="00FE1DEB"/>
    <w:rsid w:val="00FE1F2D"/>
    <w:rsid w:val="00FE4A07"/>
    <w:rsid w:val="00FE6D93"/>
    <w:rsid w:val="00F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88F78B59-4DD1-4564-922A-9E050451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qFormat="1"/>
    <w:lsdException w:name="heading 1" w:locked="1" w:uiPriority="0" w:qFormat="1"/>
    <w:lsdException w:name="heading 2" w:locked="1" w:uiPriority="0" w:qFormat="1"/>
    <w:lsdException w:name="heading 3" w:locked="1" w:uiPriority="0"/>
    <w:lsdException w:name="heading 4" w:locked="1" w:uiPriority="0"/>
    <w:lsdException w:name="heading 5" w:locked="1" w:uiPriority="0"/>
    <w:lsdException w:name="heading 6" w:locked="1" w:uiPriority="0"/>
    <w:lsdException w:name="heading 7" w:locked="1" w:semiHidden="1" w:uiPriority="0" w:unhideWhenUsed="1"/>
    <w:lsdException w:name="heading 8" w:locked="1" w:semiHidden="1" w:uiPriority="0" w:unhideWhenUsed="1"/>
    <w:lsdException w:name="heading 9" w:locked="1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DEMIURG Normalny"/>
    <w:uiPriority w:val="99"/>
    <w:qFormat/>
    <w:rsid w:val="006E6BF8"/>
    <w:pPr>
      <w:spacing w:line="360" w:lineRule="auto"/>
      <w:ind w:left="709"/>
      <w:jc w:val="both"/>
    </w:pPr>
    <w:rPr>
      <w:rFonts w:ascii="Century Gothic" w:eastAsiaTheme="minorHAnsi" w:hAnsi="Century Gothic" w:cstheme="minorBidi"/>
      <w:sz w:val="16"/>
      <w:lang w:eastAsia="en-US"/>
    </w:rPr>
  </w:style>
  <w:style w:type="paragraph" w:styleId="Nagwek1">
    <w:name w:val="heading 1"/>
    <w:aliases w:val="DEMIURG Nagłówek 3,Nagłówek 1a"/>
    <w:basedOn w:val="Normalny"/>
    <w:next w:val="Normalny"/>
    <w:link w:val="Nagwek1Znak"/>
    <w:qFormat/>
    <w:rsid w:val="007D1E66"/>
    <w:pPr>
      <w:keepNext/>
      <w:keepLines/>
      <w:numPr>
        <w:numId w:val="1"/>
      </w:numPr>
      <w:spacing w:before="120" w:after="120"/>
      <w:jc w:val="center"/>
      <w:outlineLvl w:val="0"/>
    </w:pPr>
    <w:rPr>
      <w:rFonts w:eastAsia="Times New Roman"/>
      <w:b/>
      <w:bCs/>
      <w:sz w:val="36"/>
      <w:szCs w:val="36"/>
    </w:rPr>
  </w:style>
  <w:style w:type="paragraph" w:styleId="Nagwek2">
    <w:name w:val="heading 2"/>
    <w:aliases w:val="DEMIURG Nagłówek 4"/>
    <w:basedOn w:val="Normalny"/>
    <w:next w:val="Normalny"/>
    <w:link w:val="Nagwek2Znak"/>
    <w:autoRedefine/>
    <w:qFormat/>
    <w:rsid w:val="00395364"/>
    <w:pPr>
      <w:keepNext/>
      <w:keepLines/>
      <w:numPr>
        <w:numId w:val="2"/>
      </w:numPr>
      <w:spacing w:before="120" w:after="120"/>
      <w:jc w:val="center"/>
      <w:outlineLvl w:val="1"/>
    </w:pPr>
    <w:rPr>
      <w:rFonts w:eastAsia="Times New Roman"/>
      <w:b/>
      <w:bCs/>
      <w:sz w:val="36"/>
      <w:szCs w:val="36"/>
    </w:rPr>
  </w:style>
  <w:style w:type="paragraph" w:styleId="Nagwek3">
    <w:name w:val="heading 3"/>
    <w:aliases w:val="DEMIURG Nagłówek 5"/>
    <w:basedOn w:val="Normalny"/>
    <w:next w:val="Normalny"/>
    <w:link w:val="Nagwek3Znak"/>
    <w:rsid w:val="00CD3FBA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rsid w:val="00CD3FBA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rsid w:val="007D1E66"/>
    <w:pPr>
      <w:spacing w:before="240" w:after="60" w:line="240" w:lineRule="auto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rsid w:val="007D1E66"/>
    <w:pPr>
      <w:spacing w:before="240" w:after="60" w:line="240" w:lineRule="auto"/>
      <w:ind w:left="1152" w:hanging="1152"/>
      <w:outlineLvl w:val="5"/>
    </w:pPr>
    <w:rPr>
      <w:rFonts w:ascii="Calibri" w:hAnsi="Calibri" w:cs="Calibri"/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9"/>
    <w:rsid w:val="007D1E66"/>
    <w:pPr>
      <w:spacing w:before="240" w:after="60" w:line="240" w:lineRule="auto"/>
      <w:ind w:left="1296" w:hanging="1296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rsid w:val="007D1E66"/>
    <w:pPr>
      <w:spacing w:before="240" w:after="60" w:line="240" w:lineRule="auto"/>
      <w:ind w:left="1440" w:hanging="144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rsid w:val="007D1E66"/>
    <w:pPr>
      <w:spacing w:before="240" w:after="60" w:line="240" w:lineRule="auto"/>
      <w:ind w:left="1584" w:hanging="1584"/>
      <w:outlineLvl w:val="8"/>
    </w:pPr>
    <w:rPr>
      <w:rFonts w:ascii="Cambria" w:hAnsi="Cambria" w:cs="Cambri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EMIURG Nagłówek 3 Znak,Nagłówek 1a Znak"/>
    <w:basedOn w:val="Domylnaczcionkaakapitu"/>
    <w:link w:val="Nagwek1"/>
    <w:locked/>
    <w:rsid w:val="009E3678"/>
    <w:rPr>
      <w:rFonts w:ascii="Century Gothic" w:eastAsia="Times New Roman" w:hAnsi="Century Gothic" w:cstheme="minorBidi"/>
      <w:b/>
      <w:bCs/>
      <w:sz w:val="36"/>
      <w:szCs w:val="36"/>
      <w:lang w:eastAsia="en-US"/>
    </w:rPr>
  </w:style>
  <w:style w:type="character" w:customStyle="1" w:styleId="Nagwek2Znak">
    <w:name w:val="Nagłówek 2 Znak"/>
    <w:aliases w:val="DEMIURG Nagłówek 4 Znak"/>
    <w:basedOn w:val="Domylnaczcionkaakapitu"/>
    <w:link w:val="Nagwek2"/>
    <w:locked/>
    <w:rsid w:val="00395364"/>
    <w:rPr>
      <w:rFonts w:ascii="Century Gothic" w:eastAsia="Times New Roman" w:hAnsi="Century Gothic" w:cstheme="minorBidi"/>
      <w:b/>
      <w:bCs/>
      <w:sz w:val="36"/>
      <w:szCs w:val="36"/>
      <w:lang w:eastAsia="en-US"/>
    </w:rPr>
  </w:style>
  <w:style w:type="character" w:customStyle="1" w:styleId="Nagwek3Znak">
    <w:name w:val="Nagłówek 3 Znak"/>
    <w:aliases w:val="DEMIURG Nagłówek 5 Znak"/>
    <w:basedOn w:val="Domylnaczcionkaakapitu"/>
    <w:link w:val="Nagwek3"/>
    <w:locked/>
    <w:rsid w:val="009E3678"/>
    <w:rPr>
      <w:rFonts w:ascii="Cambria" w:eastAsia="Times New Roman" w:hAnsi="Cambria" w:cs="Cambria"/>
      <w:b/>
      <w:bCs/>
      <w:color w:val="4F81BD"/>
      <w:sz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9E3678"/>
    <w:rPr>
      <w:rFonts w:ascii="Cambria" w:eastAsia="Times New Roman" w:hAnsi="Cambria" w:cs="Cambria"/>
      <w:b/>
      <w:bCs/>
      <w:i/>
      <w:iCs/>
      <w:color w:val="4F81BD"/>
      <w:sz w:val="16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9E3678"/>
    <w:rPr>
      <w:rFonts w:eastAsiaTheme="minorHAnsi" w:cs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9E3678"/>
    <w:rPr>
      <w:rFonts w:eastAsiaTheme="minorHAnsi" w:cs="Calibr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9E3678"/>
    <w:rPr>
      <w:rFonts w:eastAsiaTheme="minorHAnsi" w:cs="Calibr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9E3678"/>
    <w:rPr>
      <w:rFonts w:eastAsiaTheme="minorHAnsi" w:cs="Calibr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9E3678"/>
    <w:rPr>
      <w:rFonts w:ascii="Cambria" w:eastAsiaTheme="minorHAnsi" w:hAnsi="Cambria" w:cs="Cambria"/>
      <w:lang w:eastAsia="en-US"/>
    </w:rPr>
  </w:style>
  <w:style w:type="paragraph" w:styleId="Nagwek">
    <w:name w:val="header"/>
    <w:basedOn w:val="Normalny"/>
    <w:link w:val="NagwekZnak"/>
    <w:uiPriority w:val="99"/>
    <w:rsid w:val="009E36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678"/>
    <w:rPr>
      <w:rFonts w:ascii="Century Gothic" w:eastAsiaTheme="minorHAnsi" w:hAnsi="Century Gothic" w:cstheme="minorBidi"/>
      <w:sz w:val="16"/>
      <w:lang w:eastAsia="en-US"/>
    </w:rPr>
  </w:style>
  <w:style w:type="paragraph" w:styleId="Stopka">
    <w:name w:val="footer"/>
    <w:basedOn w:val="Normalny"/>
    <w:link w:val="StopkaZnak"/>
    <w:uiPriority w:val="99"/>
    <w:rsid w:val="009E36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678"/>
    <w:rPr>
      <w:rFonts w:ascii="Century Gothic" w:eastAsiaTheme="minorHAnsi" w:hAnsi="Century Gothic" w:cstheme="minorBidi"/>
      <w:sz w:val="1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97FE1"/>
  </w:style>
  <w:style w:type="paragraph" w:styleId="Tekstdymka">
    <w:name w:val="Balloon Text"/>
    <w:basedOn w:val="Normalny"/>
    <w:link w:val="TekstdymkaZnak"/>
    <w:uiPriority w:val="99"/>
    <w:rsid w:val="00D22E22"/>
    <w:pPr>
      <w:spacing w:line="240" w:lineRule="auto"/>
    </w:pPr>
    <w:rPr>
      <w:rFonts w:ascii="Tahoma" w:hAnsi="Tahoma" w:cs="Tahoma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E3678"/>
    <w:rPr>
      <w:rFonts w:ascii="Tahoma" w:eastAsiaTheme="minorHAnsi" w:hAnsi="Tahoma" w:cs="Tahoma"/>
      <w:sz w:val="16"/>
      <w:lang w:eastAsia="en-US"/>
    </w:rPr>
  </w:style>
  <w:style w:type="paragraph" w:customStyle="1" w:styleId="DEMIURGNumeracja1">
    <w:name w:val="DEMIURG Numeracja 1"/>
    <w:basedOn w:val="Akapitzlist"/>
    <w:link w:val="DEMIURGNumeracja1Znak"/>
    <w:uiPriority w:val="99"/>
    <w:qFormat/>
    <w:rsid w:val="00EE239F"/>
    <w:pPr>
      <w:keepLines/>
      <w:numPr>
        <w:numId w:val="4"/>
      </w:numPr>
      <w:spacing w:before="240" w:after="120"/>
      <w:ind w:left="709" w:hanging="709"/>
      <w:jc w:val="left"/>
    </w:pPr>
    <w:rPr>
      <w:b/>
      <w:bCs/>
    </w:rPr>
  </w:style>
  <w:style w:type="paragraph" w:customStyle="1" w:styleId="DEMIURGNumeracja2">
    <w:name w:val="DEMIURG Numeracja 2"/>
    <w:basedOn w:val="Akapitzlist"/>
    <w:link w:val="DEMIURGNumeracja2Znak"/>
    <w:uiPriority w:val="99"/>
    <w:qFormat/>
    <w:rsid w:val="00EE239F"/>
    <w:pPr>
      <w:numPr>
        <w:ilvl w:val="1"/>
        <w:numId w:val="4"/>
      </w:numPr>
      <w:spacing w:before="240" w:after="120"/>
      <w:ind w:left="708" w:hanging="714"/>
    </w:pPr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9E3678"/>
    <w:rPr>
      <w:rFonts w:ascii="Century Gothic" w:eastAsiaTheme="minorHAnsi" w:hAnsi="Century Gothic" w:cstheme="minorBidi"/>
      <w:sz w:val="16"/>
      <w:lang w:eastAsia="en-US"/>
    </w:rPr>
  </w:style>
  <w:style w:type="character" w:customStyle="1" w:styleId="DEMIURGNumeracja1Znak">
    <w:name w:val="DEMIURG Numeracja 1 Znak"/>
    <w:basedOn w:val="AkapitzlistZnak"/>
    <w:link w:val="DEMIURGNumeracja1"/>
    <w:uiPriority w:val="99"/>
    <w:locked/>
    <w:rsid w:val="00EE239F"/>
    <w:rPr>
      <w:rFonts w:ascii="Century Gothic" w:eastAsiaTheme="minorHAnsi" w:hAnsi="Century Gothic" w:cstheme="minorBidi"/>
      <w:b/>
      <w:bCs/>
      <w:sz w:val="16"/>
      <w:lang w:eastAsia="en-US"/>
    </w:rPr>
  </w:style>
  <w:style w:type="paragraph" w:customStyle="1" w:styleId="DEMIURGNumeracja3">
    <w:name w:val="DEMIURG Numeracja 3"/>
    <w:basedOn w:val="Akapitzlist"/>
    <w:link w:val="DEMIURGNumeracja3Znak"/>
    <w:uiPriority w:val="99"/>
    <w:qFormat/>
    <w:rsid w:val="00EE239F"/>
    <w:pPr>
      <w:keepLines/>
      <w:numPr>
        <w:ilvl w:val="2"/>
        <w:numId w:val="4"/>
      </w:numPr>
      <w:spacing w:before="240" w:after="120"/>
      <w:ind w:left="709" w:hanging="709"/>
    </w:pPr>
    <w:rPr>
      <w:b/>
      <w:bCs/>
    </w:rPr>
  </w:style>
  <w:style w:type="character" w:customStyle="1" w:styleId="DEMIURGNumeracja2Znak">
    <w:name w:val="DEMIURG Numeracja 2 Znak"/>
    <w:basedOn w:val="AkapitzlistZnak"/>
    <w:link w:val="DEMIURGNumeracja2"/>
    <w:uiPriority w:val="99"/>
    <w:locked/>
    <w:rsid w:val="00EE239F"/>
    <w:rPr>
      <w:rFonts w:ascii="Century Gothic" w:eastAsiaTheme="minorHAnsi" w:hAnsi="Century Gothic" w:cstheme="minorBidi"/>
      <w:b/>
      <w:bCs/>
      <w:sz w:val="16"/>
      <w:lang w:eastAsia="en-US"/>
    </w:rPr>
  </w:style>
  <w:style w:type="paragraph" w:customStyle="1" w:styleId="DEMIURGNumeracja4">
    <w:name w:val="DEMIURG Numeracja 4"/>
    <w:basedOn w:val="DEMIURGNumeracja3"/>
    <w:link w:val="DEMIURGNumeracja4Znak"/>
    <w:uiPriority w:val="99"/>
    <w:qFormat/>
    <w:rsid w:val="006F4344"/>
    <w:pPr>
      <w:numPr>
        <w:ilvl w:val="3"/>
      </w:numPr>
      <w:ind w:left="0" w:firstLine="0"/>
    </w:pPr>
  </w:style>
  <w:style w:type="character" w:customStyle="1" w:styleId="DEMIURGNumeracja3Znak">
    <w:name w:val="DEMIURG Numeracja 3 Znak"/>
    <w:basedOn w:val="AkapitzlistZnak"/>
    <w:link w:val="DEMIURGNumeracja3"/>
    <w:locked/>
    <w:rsid w:val="00EE239F"/>
    <w:rPr>
      <w:rFonts w:ascii="Century Gothic" w:eastAsiaTheme="minorHAnsi" w:hAnsi="Century Gothic" w:cstheme="minorBidi"/>
      <w:b/>
      <w:bCs/>
      <w:sz w:val="16"/>
      <w:lang w:eastAsia="en-US"/>
    </w:rPr>
  </w:style>
  <w:style w:type="paragraph" w:customStyle="1" w:styleId="DEMIURGPunktator1">
    <w:name w:val="DEMIURG Punktator 1"/>
    <w:basedOn w:val="DEMIURGNumeracja4"/>
    <w:link w:val="DEMIURGPunktator1Znak"/>
    <w:qFormat/>
    <w:rsid w:val="00AF2380"/>
    <w:pPr>
      <w:numPr>
        <w:ilvl w:val="0"/>
        <w:numId w:val="5"/>
      </w:numPr>
    </w:pPr>
    <w:rPr>
      <w:bCs w:val="0"/>
    </w:rPr>
  </w:style>
  <w:style w:type="character" w:customStyle="1" w:styleId="DEMIURGNumeracja4Znak">
    <w:name w:val="DEMIURG Numeracja 4 Znak"/>
    <w:basedOn w:val="DEMIURGNumeracja3Znak"/>
    <w:link w:val="DEMIURGNumeracja4"/>
    <w:locked/>
    <w:rsid w:val="006F4344"/>
    <w:rPr>
      <w:rFonts w:ascii="Century Gothic" w:eastAsiaTheme="minorHAnsi" w:hAnsi="Century Gothic" w:cstheme="minorBidi"/>
      <w:b/>
      <w:bCs/>
      <w:sz w:val="16"/>
      <w:lang w:eastAsia="en-US"/>
    </w:rPr>
  </w:style>
  <w:style w:type="paragraph" w:customStyle="1" w:styleId="DEMIURGPunktator2">
    <w:name w:val="DEMIURG Punktator 2"/>
    <w:basedOn w:val="DEMIURGPunktator1"/>
    <w:link w:val="DEMIURGPunktator2Znak"/>
    <w:uiPriority w:val="99"/>
    <w:qFormat/>
    <w:rsid w:val="00EE239F"/>
    <w:pPr>
      <w:numPr>
        <w:numId w:val="6"/>
      </w:numPr>
      <w:spacing w:before="120"/>
      <w:ind w:left="1434" w:hanging="357"/>
    </w:pPr>
    <w:rPr>
      <w:b w:val="0"/>
    </w:rPr>
  </w:style>
  <w:style w:type="character" w:customStyle="1" w:styleId="DEMIURGPunktator1Znak">
    <w:name w:val="DEMIURG Punktator 1 Znak"/>
    <w:basedOn w:val="DEMIURGNumeracja4Znak"/>
    <w:link w:val="DEMIURGPunktator1"/>
    <w:locked/>
    <w:rsid w:val="00AF2380"/>
    <w:rPr>
      <w:rFonts w:ascii="Century Gothic" w:eastAsiaTheme="minorHAnsi" w:hAnsi="Century Gothic" w:cstheme="minorBidi"/>
      <w:b/>
      <w:bCs w:val="0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0A4B48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EMIURGPunktator2Znak">
    <w:name w:val="DEMIURG Punktator 2 Znak"/>
    <w:basedOn w:val="DEMIURGPunktator1Znak"/>
    <w:link w:val="DEMIURGPunktator2"/>
    <w:uiPriority w:val="99"/>
    <w:locked/>
    <w:rsid w:val="00EE239F"/>
    <w:rPr>
      <w:rFonts w:ascii="Century Gothic" w:eastAsiaTheme="minorHAnsi" w:hAnsi="Century Gothic" w:cstheme="minorBidi"/>
      <w:b w:val="0"/>
      <w:bCs w:val="0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9E3678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99"/>
    <w:rsid w:val="000A4B48"/>
    <w:pPr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Cambria"/>
      <w:color w:val="365F91"/>
      <w:sz w:val="28"/>
      <w:szCs w:val="28"/>
    </w:rPr>
  </w:style>
  <w:style w:type="paragraph" w:customStyle="1" w:styleId="DEMIURGstopka">
    <w:name w:val="DEMIURG_stopka"/>
    <w:basedOn w:val="Normalny"/>
    <w:link w:val="DEMIURGstopkaZnak"/>
    <w:uiPriority w:val="99"/>
    <w:qFormat/>
    <w:rsid w:val="00DA57E3"/>
    <w:pPr>
      <w:jc w:val="right"/>
    </w:pPr>
  </w:style>
  <w:style w:type="paragraph" w:styleId="Spistreci1">
    <w:name w:val="toc 1"/>
    <w:basedOn w:val="DEMIURG-Spistreci"/>
    <w:next w:val="DEMIURG-Spistreci"/>
    <w:link w:val="Spistreci1Znak"/>
    <w:autoRedefine/>
    <w:uiPriority w:val="39"/>
    <w:rsid w:val="00A15DCA"/>
    <w:rPr>
      <w:bCs w:val="0"/>
    </w:rPr>
  </w:style>
  <w:style w:type="paragraph" w:styleId="Spistreci2">
    <w:name w:val="toc 2"/>
    <w:basedOn w:val="Spistreci1"/>
    <w:next w:val="DEMIURG-Spistreci"/>
    <w:link w:val="Spistreci2Znak"/>
    <w:autoRedefine/>
    <w:uiPriority w:val="39"/>
    <w:rsid w:val="00340796"/>
    <w:rPr>
      <w:bCs/>
      <w:smallCaps/>
    </w:rPr>
  </w:style>
  <w:style w:type="paragraph" w:styleId="Spistreci3">
    <w:name w:val="toc 3"/>
    <w:aliases w:val="DEMIURG Spis treści"/>
    <w:basedOn w:val="Spistreci1"/>
    <w:next w:val="DEMIURG-Spistreci"/>
    <w:link w:val="Spistreci3Znak"/>
    <w:autoRedefine/>
    <w:uiPriority w:val="39"/>
    <w:rsid w:val="00236781"/>
  </w:style>
  <w:style w:type="paragraph" w:styleId="Spistreci4">
    <w:name w:val="toc 4"/>
    <w:basedOn w:val="Spistreci1"/>
    <w:next w:val="Normalny"/>
    <w:link w:val="Spistreci4Znak"/>
    <w:autoRedefine/>
    <w:uiPriority w:val="39"/>
    <w:rsid w:val="00340796"/>
  </w:style>
  <w:style w:type="character" w:customStyle="1" w:styleId="DEMIURGstopkaZnak">
    <w:name w:val="DEMIURG_stopka Znak"/>
    <w:basedOn w:val="Domylnaczcionkaakapitu"/>
    <w:link w:val="DEMIURGstopka"/>
    <w:uiPriority w:val="99"/>
    <w:rsid w:val="00DA57E3"/>
    <w:rPr>
      <w:rFonts w:ascii="Century Gothic" w:eastAsiaTheme="minorHAnsi" w:hAnsi="Century Gothic" w:cstheme="minorBidi"/>
      <w:sz w:val="16"/>
      <w:lang w:eastAsia="en-US"/>
    </w:rPr>
  </w:style>
  <w:style w:type="paragraph" w:styleId="Spistreci7">
    <w:name w:val="toc 7"/>
    <w:basedOn w:val="Normalny"/>
    <w:next w:val="Normalny"/>
    <w:autoRedefine/>
    <w:uiPriority w:val="99"/>
    <w:rsid w:val="00CD3FBA"/>
    <w:pPr>
      <w:ind w:left="0"/>
      <w:jc w:val="left"/>
    </w:pPr>
    <w:rPr>
      <w:rFonts w:ascii="Calibri" w:hAnsi="Calibri" w:cs="Calibri"/>
      <w:sz w:val="22"/>
    </w:rPr>
  </w:style>
  <w:style w:type="paragraph" w:styleId="Spistreci8">
    <w:name w:val="toc 8"/>
    <w:basedOn w:val="Normalny"/>
    <w:next w:val="Normalny"/>
    <w:autoRedefine/>
    <w:uiPriority w:val="99"/>
    <w:rsid w:val="00CD3FBA"/>
    <w:pPr>
      <w:ind w:left="0"/>
      <w:jc w:val="left"/>
    </w:pPr>
    <w:rPr>
      <w:rFonts w:ascii="Calibri" w:hAnsi="Calibri" w:cs="Calibri"/>
      <w:sz w:val="22"/>
    </w:rPr>
  </w:style>
  <w:style w:type="paragraph" w:styleId="Spistreci9">
    <w:name w:val="toc 9"/>
    <w:basedOn w:val="Normalny"/>
    <w:next w:val="Normalny"/>
    <w:autoRedefine/>
    <w:uiPriority w:val="99"/>
    <w:rsid w:val="00CD3FBA"/>
    <w:pPr>
      <w:ind w:left="0"/>
      <w:jc w:val="left"/>
    </w:pPr>
    <w:rPr>
      <w:rFonts w:ascii="Calibri" w:hAnsi="Calibri" w:cs="Calibri"/>
      <w:sz w:val="22"/>
    </w:rPr>
  </w:style>
  <w:style w:type="numbering" w:customStyle="1" w:styleId="Styl1">
    <w:name w:val="Styl1"/>
    <w:rsid w:val="00615A12"/>
    <w:pPr>
      <w:numPr>
        <w:numId w:val="3"/>
      </w:numPr>
    </w:pPr>
  </w:style>
  <w:style w:type="paragraph" w:styleId="Tekstprzypisukocowego">
    <w:name w:val="endnote text"/>
    <w:basedOn w:val="Normalny"/>
    <w:link w:val="TekstprzypisukocowegoZnak"/>
    <w:uiPriority w:val="99"/>
    <w:rsid w:val="00E07E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E3678"/>
    <w:rPr>
      <w:rFonts w:ascii="Century Gothic" w:eastAsiaTheme="minorHAnsi" w:hAnsi="Century Gothic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rsid w:val="00E07ECD"/>
    <w:rPr>
      <w:vertAlign w:val="superscript"/>
    </w:rPr>
  </w:style>
  <w:style w:type="paragraph" w:customStyle="1" w:styleId="DEMIURG-Spistreci">
    <w:name w:val="DEMIURG - Spis treści"/>
    <w:basedOn w:val="Normalny"/>
    <w:link w:val="DEMIURG-SpistreciZnak"/>
    <w:qFormat/>
    <w:rsid w:val="00EE239F"/>
    <w:pPr>
      <w:tabs>
        <w:tab w:val="left" w:pos="709"/>
        <w:tab w:val="right" w:leader="dot" w:pos="9060"/>
      </w:tabs>
      <w:spacing w:before="120" w:after="120" w:line="240" w:lineRule="auto"/>
      <w:ind w:left="0"/>
      <w:jc w:val="left"/>
    </w:pPr>
    <w:rPr>
      <w:rFonts w:cs="Calibri"/>
      <w:bCs/>
      <w:caps/>
    </w:rPr>
  </w:style>
  <w:style w:type="character" w:customStyle="1" w:styleId="Spistreci2Znak">
    <w:name w:val="Spis treści 2 Znak"/>
    <w:basedOn w:val="DEMIURG-SpistreciZnak"/>
    <w:link w:val="Spistreci2"/>
    <w:uiPriority w:val="39"/>
    <w:rsid w:val="009E3678"/>
    <w:rPr>
      <w:rFonts w:ascii="Century Gothic" w:eastAsiaTheme="minorHAnsi" w:hAnsi="Century Gothic" w:cs="Calibri"/>
      <w:bCs/>
      <w:caps/>
      <w:smallCaps/>
      <w:sz w:val="16"/>
      <w:lang w:eastAsia="en-US"/>
    </w:rPr>
  </w:style>
  <w:style w:type="character" w:customStyle="1" w:styleId="DEMIURG-SpistreciZnak">
    <w:name w:val="DEMIURG - Spis treści Znak"/>
    <w:basedOn w:val="Domylnaczcionkaakapitu"/>
    <w:link w:val="DEMIURG-Spistreci"/>
    <w:rsid w:val="00EE239F"/>
    <w:rPr>
      <w:rFonts w:ascii="Century Gothic" w:eastAsiaTheme="minorHAnsi" w:hAnsi="Century Gothic" w:cs="Calibri"/>
      <w:bCs/>
      <w:caps/>
      <w:sz w:val="16"/>
      <w:lang w:eastAsia="en-US"/>
    </w:rPr>
  </w:style>
  <w:style w:type="character" w:customStyle="1" w:styleId="Spistreci1Znak">
    <w:name w:val="Spis treści 1 Znak"/>
    <w:basedOn w:val="DEMIURG-SpistreciZnak"/>
    <w:link w:val="Spistreci1"/>
    <w:uiPriority w:val="39"/>
    <w:rsid w:val="00A15DCA"/>
    <w:rPr>
      <w:rFonts w:ascii="Century Gothic" w:eastAsiaTheme="minorHAnsi" w:hAnsi="Century Gothic" w:cs="Calibri"/>
      <w:bCs w:val="0"/>
      <w:caps/>
      <w:sz w:val="16"/>
      <w:lang w:eastAsia="en-US"/>
    </w:rPr>
  </w:style>
  <w:style w:type="character" w:customStyle="1" w:styleId="Spistreci3Znak">
    <w:name w:val="Spis treści 3 Znak"/>
    <w:aliases w:val="DEMIURG Spis treści Znak"/>
    <w:basedOn w:val="DEMIURG-SpistreciZnak"/>
    <w:link w:val="Spistreci3"/>
    <w:uiPriority w:val="39"/>
    <w:rsid w:val="00236781"/>
    <w:rPr>
      <w:rFonts w:ascii="Century Gothic" w:eastAsiaTheme="minorHAnsi" w:hAnsi="Century Gothic" w:cs="Calibri"/>
      <w:bCs w:val="0"/>
      <w:caps/>
      <w:sz w:val="16"/>
      <w:lang w:eastAsia="en-US"/>
    </w:rPr>
  </w:style>
  <w:style w:type="character" w:customStyle="1" w:styleId="Spistreci4Znak">
    <w:name w:val="Spis treści 4 Znak"/>
    <w:basedOn w:val="Spistreci1Znak"/>
    <w:link w:val="Spistreci4"/>
    <w:uiPriority w:val="39"/>
    <w:rsid w:val="009E3678"/>
    <w:rPr>
      <w:rFonts w:ascii="Century Gothic" w:eastAsiaTheme="minorHAnsi" w:hAnsi="Century Gothic" w:cs="Calibri"/>
      <w:bCs w:val="0"/>
      <w:caps/>
      <w:sz w:val="16"/>
      <w:lang w:eastAsia="en-US"/>
    </w:rPr>
  </w:style>
  <w:style w:type="character" w:styleId="Odwoaniedokomentarza">
    <w:name w:val="annotation reference"/>
    <w:basedOn w:val="Domylnaczcionkaakapitu"/>
    <w:uiPriority w:val="99"/>
    <w:rsid w:val="005568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568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3678"/>
    <w:rPr>
      <w:rFonts w:ascii="Century Gothic" w:eastAsiaTheme="minorHAnsi" w:hAnsi="Century Gothic" w:cstheme="minorBid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568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E3678"/>
    <w:rPr>
      <w:rFonts w:ascii="Century Gothic" w:eastAsiaTheme="minorHAnsi" w:hAnsi="Century Gothic" w:cstheme="minorBidi"/>
      <w:b/>
      <w:bCs/>
      <w:sz w:val="20"/>
      <w:szCs w:val="20"/>
      <w:lang w:eastAsia="en-US"/>
    </w:rPr>
  </w:style>
  <w:style w:type="character" w:styleId="Numerwiersza">
    <w:name w:val="line number"/>
    <w:basedOn w:val="Domylnaczcionkaakapitu"/>
    <w:uiPriority w:val="99"/>
    <w:rsid w:val="00956A3A"/>
  </w:style>
  <w:style w:type="character" w:styleId="Pogrubienie">
    <w:name w:val="Strong"/>
    <w:basedOn w:val="Domylnaczcionkaakapitu"/>
    <w:uiPriority w:val="22"/>
    <w:locked/>
    <w:rsid w:val="004B5409"/>
    <w:rPr>
      <w:b/>
      <w:bCs/>
    </w:rPr>
  </w:style>
  <w:style w:type="paragraph" w:styleId="Tekstpodstawowy3">
    <w:name w:val="Body Text 3"/>
    <w:basedOn w:val="Normalny"/>
    <w:link w:val="Tekstpodstawowy3Znak"/>
    <w:rsid w:val="00952FDA"/>
    <w:pPr>
      <w:spacing w:after="120" w:line="240" w:lineRule="auto"/>
      <w:ind w:left="0"/>
      <w:jc w:val="left"/>
    </w:pPr>
    <w:rPr>
      <w:rFonts w:ascii="Times New Roman" w:eastAsia="Times New Roman" w:hAnsi="Times New Roman" w:cs="Times New Roman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3678"/>
    <w:rPr>
      <w:rFonts w:ascii="Times New Roman" w:eastAsia="Times New Roman" w:hAnsi="Times New Roman"/>
      <w:sz w:val="16"/>
      <w:szCs w:val="16"/>
    </w:rPr>
  </w:style>
  <w:style w:type="paragraph" w:customStyle="1" w:styleId="DEMIURGNagwek">
    <w:name w:val="DEMIURG Nagłówek"/>
    <w:basedOn w:val="Normalny"/>
    <w:link w:val="DEMIURGNagwekZnak"/>
    <w:autoRedefine/>
    <w:qFormat/>
    <w:rsid w:val="0093075F"/>
    <w:pPr>
      <w:spacing w:line="240" w:lineRule="auto"/>
      <w:ind w:left="0"/>
      <w:jc w:val="center"/>
    </w:pPr>
    <w:rPr>
      <w:caps/>
    </w:rPr>
  </w:style>
  <w:style w:type="paragraph" w:customStyle="1" w:styleId="DEMIURG-Punkty">
    <w:name w:val="DEMIURG - Punkty"/>
    <w:basedOn w:val="DEMIURGPunktator1"/>
    <w:link w:val="DEMIURG-PunktyZnak"/>
    <w:qFormat/>
    <w:rsid w:val="002D177B"/>
    <w:rPr>
      <w:b w:val="0"/>
    </w:rPr>
  </w:style>
  <w:style w:type="character" w:customStyle="1" w:styleId="DEMIURGNagwekZnak">
    <w:name w:val="DEMIURG Nagłówek Znak"/>
    <w:basedOn w:val="Domylnaczcionkaakapitu"/>
    <w:link w:val="DEMIURGNagwek"/>
    <w:rsid w:val="0093075F"/>
    <w:rPr>
      <w:rFonts w:ascii="Century Gothic" w:eastAsiaTheme="minorHAnsi" w:hAnsi="Century Gothic" w:cstheme="minorBidi"/>
      <w:caps/>
      <w:sz w:val="16"/>
      <w:lang w:eastAsia="en-US"/>
    </w:rPr>
  </w:style>
  <w:style w:type="character" w:customStyle="1" w:styleId="DEMIURG-PunktyZnak">
    <w:name w:val="DEMIURG - Punkty Znak"/>
    <w:basedOn w:val="DEMIURGPunktator1Znak"/>
    <w:link w:val="DEMIURG-Punkty"/>
    <w:rsid w:val="002D177B"/>
    <w:rPr>
      <w:rFonts w:ascii="Century Gothic" w:eastAsiaTheme="minorHAnsi" w:hAnsi="Century Gothic" w:cstheme="minorBidi"/>
      <w:b w:val="0"/>
      <w:bCs w:val="0"/>
      <w:sz w:val="16"/>
      <w:szCs w:val="16"/>
      <w:lang w:eastAsia="en-US"/>
    </w:rPr>
  </w:style>
  <w:style w:type="paragraph" w:customStyle="1" w:styleId="DEMIURGPunkty2">
    <w:name w:val="DEMIURG Punkty 2"/>
    <w:basedOn w:val="DEMIURGPunktator1"/>
    <w:link w:val="DEMIURGPunkty2Znak"/>
    <w:qFormat/>
    <w:rsid w:val="00EE239F"/>
    <w:pPr>
      <w:spacing w:before="120"/>
      <w:ind w:left="714" w:hanging="357"/>
    </w:pPr>
    <w:rPr>
      <w:b w:val="0"/>
    </w:rPr>
  </w:style>
  <w:style w:type="character" w:customStyle="1" w:styleId="DEMIURGPunkty2Znak">
    <w:name w:val="DEMIURG Punkty 2 Znak"/>
    <w:basedOn w:val="DEMIURGPunktator1Znak"/>
    <w:link w:val="DEMIURGPunkty2"/>
    <w:rsid w:val="00EE239F"/>
    <w:rPr>
      <w:rFonts w:ascii="Century Gothic" w:eastAsiaTheme="minorHAnsi" w:hAnsi="Century Gothic" w:cstheme="minorBidi"/>
      <w:b w:val="0"/>
      <w:bCs w:val="0"/>
      <w:sz w:val="16"/>
      <w:szCs w:val="16"/>
      <w:lang w:eastAsia="en-US"/>
    </w:rPr>
  </w:style>
  <w:style w:type="paragraph" w:customStyle="1" w:styleId="DEMIURGPodpis">
    <w:name w:val="DEMIURG Podpis"/>
    <w:basedOn w:val="Normalny"/>
    <w:link w:val="DEMIURGPodpisZnak"/>
    <w:uiPriority w:val="99"/>
    <w:qFormat/>
    <w:rsid w:val="00EE239F"/>
    <w:pPr>
      <w:jc w:val="left"/>
    </w:pPr>
    <w:rPr>
      <w:sz w:val="14"/>
    </w:rPr>
  </w:style>
  <w:style w:type="character" w:customStyle="1" w:styleId="DEMIURGPodpisZnak">
    <w:name w:val="DEMIURG Podpis Znak"/>
    <w:basedOn w:val="Domylnaczcionkaakapitu"/>
    <w:link w:val="DEMIURGPodpis"/>
    <w:uiPriority w:val="99"/>
    <w:rsid w:val="00EE239F"/>
    <w:rPr>
      <w:rFonts w:ascii="Century Gothic" w:eastAsiaTheme="minorHAnsi" w:hAnsi="Century Gothic" w:cstheme="minorBidi"/>
      <w:sz w:val="14"/>
      <w:lang w:eastAsia="en-US"/>
    </w:rPr>
  </w:style>
  <w:style w:type="paragraph" w:styleId="Bezodstpw">
    <w:name w:val="No Spacing"/>
    <w:uiPriority w:val="1"/>
    <w:qFormat/>
    <w:rsid w:val="00FE79A1"/>
    <w:rPr>
      <w:rFonts w:asciiTheme="minorHAnsi" w:eastAsiaTheme="minorEastAsia" w:hAnsiTheme="minorHAnsi" w:cstheme="minorBidi"/>
    </w:rPr>
  </w:style>
  <w:style w:type="paragraph" w:customStyle="1" w:styleId="DEMIURGNormalnypogrubiony">
    <w:name w:val="DEMIURG_Normalny_pogrubiony"/>
    <w:basedOn w:val="Normalny"/>
    <w:link w:val="DEMIURGNormalnypogrubionyZnak"/>
    <w:qFormat/>
    <w:rsid w:val="009A55CD"/>
    <w:rPr>
      <w:b/>
    </w:rPr>
  </w:style>
  <w:style w:type="character" w:customStyle="1" w:styleId="DEMIURGNormalnypogrubionyZnak">
    <w:name w:val="DEMIURG_Normalny_pogrubiony Znak"/>
    <w:basedOn w:val="Domylnaczcionkaakapitu"/>
    <w:link w:val="DEMIURGNormalnypogrubiony"/>
    <w:rsid w:val="009A55CD"/>
    <w:rPr>
      <w:rFonts w:ascii="Century Gothic" w:eastAsiaTheme="minorHAnsi" w:hAnsi="Century Gothic" w:cstheme="minorBidi"/>
      <w:b/>
      <w:sz w:val="16"/>
      <w:lang w:eastAsia="en-US"/>
    </w:rPr>
  </w:style>
  <w:style w:type="character" w:customStyle="1" w:styleId="h1">
    <w:name w:val="h1"/>
    <w:basedOn w:val="Domylnaczcionkaakapitu"/>
    <w:rsid w:val="001300DD"/>
  </w:style>
  <w:style w:type="character" w:customStyle="1" w:styleId="h2">
    <w:name w:val="h2"/>
    <w:basedOn w:val="Domylnaczcionkaakapitu"/>
    <w:rsid w:val="00130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9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6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1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7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0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9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1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8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0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emiurg.com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DBD82-C3AF-4ABE-92D9-4102E4C94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2052</Words>
  <Characters>14724</Characters>
  <Application>Microsoft Office Word</Application>
  <DocSecurity>0</DocSecurity>
  <Lines>122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DEMIURG</Company>
  <LinksUpToDate>false</LinksUpToDate>
  <CharactersWithSpaces>16743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2017-03-20T15:04:00Z</cp:lastPrinted>
  <dcterms:created xsi:type="dcterms:W3CDTF">2017-01-18T11:48:00Z</dcterms:created>
  <dcterms:modified xsi:type="dcterms:W3CDTF">2017-12-11T16:06:00Z</dcterms:modified>
</cp:coreProperties>
</file>