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271E" w:rsidRPr="0030710F" w:rsidRDefault="0012271E" w:rsidP="00401AA7">
      <w:pPr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 w:rsidRPr="0030710F">
        <w:rPr>
          <w:rFonts w:ascii="Arial" w:hAnsi="Arial" w:cs="Arial"/>
          <w:b/>
          <w:sz w:val="22"/>
          <w:szCs w:val="22"/>
        </w:rPr>
        <w:t>Załącznik nr 1</w:t>
      </w:r>
    </w:p>
    <w:p w:rsidR="0012271E" w:rsidRPr="0030710F" w:rsidRDefault="0012271E" w:rsidP="0012271E">
      <w:pPr>
        <w:jc w:val="center"/>
        <w:rPr>
          <w:rFonts w:ascii="Arial" w:hAnsi="Arial" w:cs="Arial"/>
          <w:b/>
          <w:sz w:val="22"/>
          <w:szCs w:val="22"/>
        </w:rPr>
      </w:pPr>
    </w:p>
    <w:p w:rsidR="0012271E" w:rsidRPr="0030710F" w:rsidRDefault="0012271E" w:rsidP="0012271E">
      <w:pPr>
        <w:jc w:val="center"/>
        <w:rPr>
          <w:rFonts w:ascii="Arial" w:hAnsi="Arial" w:cs="Arial"/>
          <w:b/>
          <w:sz w:val="22"/>
          <w:szCs w:val="22"/>
        </w:rPr>
      </w:pPr>
      <w:r w:rsidRPr="0030710F">
        <w:rPr>
          <w:rFonts w:ascii="Arial" w:hAnsi="Arial" w:cs="Arial"/>
          <w:b/>
          <w:sz w:val="22"/>
          <w:szCs w:val="22"/>
        </w:rPr>
        <w:t>KARTA GWARANCYJNA</w:t>
      </w:r>
    </w:p>
    <w:p w:rsidR="0012271E" w:rsidRPr="0030710F" w:rsidRDefault="0012271E" w:rsidP="0012271E">
      <w:pPr>
        <w:jc w:val="center"/>
        <w:rPr>
          <w:rFonts w:ascii="Arial" w:hAnsi="Arial" w:cs="Arial"/>
          <w:b/>
          <w:sz w:val="22"/>
          <w:szCs w:val="22"/>
        </w:rPr>
      </w:pPr>
      <w:r w:rsidRPr="0030710F">
        <w:rPr>
          <w:rFonts w:ascii="Arial" w:hAnsi="Arial" w:cs="Arial"/>
          <w:b/>
          <w:sz w:val="22"/>
          <w:szCs w:val="22"/>
        </w:rPr>
        <w:t>(Gwarancja jakości)</w:t>
      </w:r>
    </w:p>
    <w:p w:rsidR="0012271E" w:rsidRPr="0030710F" w:rsidRDefault="0012271E" w:rsidP="0012271E">
      <w:pPr>
        <w:jc w:val="both"/>
        <w:rPr>
          <w:rFonts w:ascii="Arial" w:hAnsi="Arial" w:cs="Arial"/>
          <w:b/>
          <w:sz w:val="22"/>
          <w:szCs w:val="22"/>
        </w:rPr>
      </w:pPr>
    </w:p>
    <w:p w:rsidR="0012271E" w:rsidRPr="0030710F" w:rsidRDefault="0012271E" w:rsidP="0012271E">
      <w:pPr>
        <w:jc w:val="both"/>
        <w:rPr>
          <w:rFonts w:ascii="Arial" w:hAnsi="Arial" w:cs="Arial"/>
          <w:b/>
          <w:sz w:val="22"/>
          <w:szCs w:val="22"/>
        </w:rPr>
      </w:pPr>
    </w:p>
    <w:p w:rsidR="0012271E" w:rsidRPr="0030710F" w:rsidRDefault="0012271E" w:rsidP="0012271E">
      <w:pPr>
        <w:pStyle w:val="Tekstpodstawowywcity2"/>
        <w:ind w:left="0" w:firstLine="0"/>
        <w:rPr>
          <w:rFonts w:cs="Arial"/>
          <w:bCs/>
          <w:sz w:val="22"/>
          <w:szCs w:val="22"/>
        </w:rPr>
      </w:pPr>
      <w:r w:rsidRPr="0030710F">
        <w:rPr>
          <w:rFonts w:cs="Arial"/>
          <w:b/>
          <w:sz w:val="22"/>
          <w:szCs w:val="22"/>
        </w:rPr>
        <w:t>Gwarantem</w:t>
      </w:r>
      <w:r w:rsidRPr="0030710F">
        <w:rPr>
          <w:rFonts w:cs="Arial"/>
          <w:sz w:val="22"/>
          <w:szCs w:val="22"/>
        </w:rPr>
        <w:t xml:space="preserve"> jest </w:t>
      </w:r>
      <w:r w:rsidRPr="0030710F">
        <w:rPr>
          <w:rFonts w:cs="Arial"/>
          <w:b/>
          <w:sz w:val="22"/>
          <w:szCs w:val="22"/>
        </w:rPr>
        <w:t>…………………………………………………………</w:t>
      </w:r>
      <w:r w:rsidRPr="0030710F">
        <w:rPr>
          <w:rFonts w:cs="Arial"/>
          <w:sz w:val="22"/>
          <w:szCs w:val="22"/>
        </w:rPr>
        <w:t xml:space="preserve">, będący Wykonawcą </w:t>
      </w:r>
      <w:r w:rsidRPr="0030710F">
        <w:rPr>
          <w:rFonts w:cs="Arial"/>
          <w:b/>
          <w:bCs/>
          <w:sz w:val="22"/>
          <w:szCs w:val="22"/>
        </w:rPr>
        <w:t>umowy</w:t>
      </w:r>
      <w:r w:rsidRPr="0030710F">
        <w:rPr>
          <w:rFonts w:cs="Arial"/>
          <w:b/>
          <w:sz w:val="22"/>
          <w:szCs w:val="22"/>
        </w:rPr>
        <w:t xml:space="preserve"> o prace budowlano - montażowe </w:t>
      </w:r>
      <w:r w:rsidRPr="0030710F">
        <w:rPr>
          <w:rFonts w:cs="Arial"/>
          <w:sz w:val="22"/>
          <w:szCs w:val="22"/>
        </w:rPr>
        <w:t xml:space="preserve">……… z dnia …………r. na wykonanie robót dla zadania </w:t>
      </w:r>
      <w:r w:rsidR="00FD7393" w:rsidRPr="00FD7393">
        <w:rPr>
          <w:rFonts w:cs="Arial"/>
          <w:bCs/>
          <w:color w:val="000000"/>
          <w:sz w:val="22"/>
          <w:szCs w:val="22"/>
        </w:rPr>
        <w:t>„</w:t>
      </w:r>
      <w:r w:rsidR="007D6087" w:rsidRPr="00364BA6">
        <w:rPr>
          <w:rFonts w:cs="Arial"/>
          <w:bCs/>
          <w:color w:val="000000"/>
          <w:sz w:val="22"/>
          <w:szCs w:val="22"/>
        </w:rPr>
        <w:t>3-05-</w:t>
      </w:r>
      <w:r w:rsidR="007D6087">
        <w:rPr>
          <w:rFonts w:cs="Arial"/>
          <w:bCs/>
          <w:color w:val="000000"/>
          <w:sz w:val="22"/>
          <w:szCs w:val="22"/>
        </w:rPr>
        <w:t>16</w:t>
      </w:r>
      <w:r w:rsidR="007D6087" w:rsidRPr="00364BA6">
        <w:rPr>
          <w:rFonts w:cs="Arial"/>
          <w:bCs/>
          <w:color w:val="000000"/>
          <w:sz w:val="22"/>
          <w:szCs w:val="22"/>
        </w:rPr>
        <w:t>-</w:t>
      </w:r>
      <w:r w:rsidR="007D6087">
        <w:rPr>
          <w:rFonts w:cs="Arial"/>
          <w:bCs/>
          <w:color w:val="000000"/>
          <w:sz w:val="22"/>
          <w:szCs w:val="22"/>
        </w:rPr>
        <w:t>101</w:t>
      </w:r>
      <w:r w:rsidR="007D6087" w:rsidRPr="00364BA6">
        <w:rPr>
          <w:rFonts w:cs="Arial"/>
          <w:bCs/>
          <w:color w:val="000000"/>
          <w:sz w:val="22"/>
          <w:szCs w:val="22"/>
        </w:rPr>
        <w:t>-1</w:t>
      </w:r>
      <w:r w:rsidR="007D6087" w:rsidRPr="0030710F">
        <w:rPr>
          <w:rFonts w:cs="Arial"/>
          <w:bCs/>
          <w:color w:val="000000"/>
          <w:sz w:val="22"/>
          <w:szCs w:val="22"/>
        </w:rPr>
        <w:t xml:space="preserve"> </w:t>
      </w:r>
      <w:r w:rsidR="007D6087">
        <w:rPr>
          <w:rFonts w:cs="Arial"/>
          <w:bCs/>
          <w:color w:val="000000"/>
          <w:sz w:val="22"/>
          <w:szCs w:val="22"/>
        </w:rPr>
        <w:t xml:space="preserve">- </w:t>
      </w:r>
      <w:r w:rsidR="007D6087" w:rsidRPr="00364BA6">
        <w:rPr>
          <w:rFonts w:cs="Arial"/>
          <w:bCs/>
          <w:color w:val="000000"/>
          <w:sz w:val="22"/>
          <w:szCs w:val="22"/>
        </w:rPr>
        <w:t xml:space="preserve">Poznań </w:t>
      </w:r>
      <w:r w:rsidR="007D6087">
        <w:rPr>
          <w:rFonts w:cs="Arial"/>
          <w:bCs/>
          <w:color w:val="000000"/>
          <w:sz w:val="22"/>
          <w:szCs w:val="22"/>
        </w:rPr>
        <w:t>–</w:t>
      </w:r>
      <w:r w:rsidR="007D6087" w:rsidRPr="00364BA6">
        <w:rPr>
          <w:rFonts w:cs="Arial"/>
          <w:bCs/>
          <w:color w:val="000000"/>
          <w:sz w:val="22"/>
          <w:szCs w:val="22"/>
        </w:rPr>
        <w:t xml:space="preserve"> </w:t>
      </w:r>
      <w:r w:rsidR="007D6087">
        <w:rPr>
          <w:rFonts w:cs="Arial"/>
          <w:bCs/>
          <w:color w:val="000000"/>
          <w:sz w:val="22"/>
          <w:szCs w:val="22"/>
        </w:rPr>
        <w:t>wymiana i budowa sieci wodociągowej w ulicy Cześnikowskiej</w:t>
      </w:r>
      <w:r w:rsidR="007D6087" w:rsidRPr="0030710F">
        <w:rPr>
          <w:rFonts w:cs="Arial"/>
          <w:bCs/>
          <w:color w:val="000000"/>
          <w:sz w:val="22"/>
          <w:szCs w:val="22"/>
        </w:rPr>
        <w:t>”, obejmujące</w:t>
      </w:r>
      <w:r w:rsidR="007D6087">
        <w:rPr>
          <w:rFonts w:cs="Arial"/>
          <w:bCs/>
          <w:color w:val="000000"/>
          <w:sz w:val="22"/>
          <w:szCs w:val="22"/>
        </w:rPr>
        <w:t xml:space="preserve"> wymianę i budowę sieci wodociągowej wraz z przyłączami w ulicy Cześnikowskiej w Poznaniu</w:t>
      </w:r>
      <w:r w:rsidR="007D6087" w:rsidRPr="00FD7393" w:rsidDel="007D6087">
        <w:rPr>
          <w:rFonts w:cs="Arial"/>
          <w:bCs/>
          <w:color w:val="000000"/>
          <w:sz w:val="22"/>
          <w:szCs w:val="22"/>
        </w:rPr>
        <w:t xml:space="preserve"> </w:t>
      </w:r>
      <w:r w:rsidR="0003271F" w:rsidRPr="0030710F">
        <w:rPr>
          <w:rFonts w:cs="Arial"/>
          <w:bCs/>
          <w:color w:val="000000"/>
          <w:sz w:val="22"/>
          <w:szCs w:val="22"/>
        </w:rPr>
        <w:t>– Inwestycja AQ</w:t>
      </w:r>
      <w:r w:rsidRPr="0030710F">
        <w:rPr>
          <w:rFonts w:cs="Arial"/>
          <w:bCs/>
          <w:color w:val="000000"/>
          <w:sz w:val="22"/>
          <w:szCs w:val="22"/>
        </w:rPr>
        <w:t xml:space="preserve">, </w:t>
      </w:r>
      <w:r w:rsidR="0003271F" w:rsidRPr="0030710F">
        <w:rPr>
          <w:rFonts w:cs="Arial"/>
          <w:bCs/>
          <w:color w:val="000000"/>
          <w:sz w:val="22"/>
          <w:szCs w:val="22"/>
        </w:rPr>
        <w:t xml:space="preserve">zawartej w imieniu i na rzecz Aquanet S.A. przez Poznańskie Inwestycje Miejskie sp. z o.o. </w:t>
      </w:r>
      <w:r w:rsidRPr="0030710F">
        <w:rPr>
          <w:rFonts w:cs="Arial"/>
          <w:bCs/>
          <w:color w:val="000000"/>
          <w:sz w:val="22"/>
          <w:szCs w:val="22"/>
        </w:rPr>
        <w:t>(</w:t>
      </w:r>
      <w:r w:rsidRPr="0030710F">
        <w:rPr>
          <w:rFonts w:cs="Arial"/>
          <w:bCs/>
          <w:sz w:val="22"/>
          <w:szCs w:val="22"/>
        </w:rPr>
        <w:t>zwana dalej „Umową”)</w:t>
      </w:r>
    </w:p>
    <w:p w:rsidR="0012271E" w:rsidRPr="0030710F" w:rsidRDefault="0012271E" w:rsidP="0012271E">
      <w:pPr>
        <w:jc w:val="both"/>
        <w:rPr>
          <w:rFonts w:ascii="Arial" w:hAnsi="Arial" w:cs="Arial"/>
          <w:sz w:val="22"/>
          <w:szCs w:val="22"/>
        </w:rPr>
      </w:pPr>
    </w:p>
    <w:p w:rsidR="0012271E" w:rsidRPr="0030710F" w:rsidRDefault="0012271E" w:rsidP="0012271E">
      <w:pPr>
        <w:jc w:val="both"/>
        <w:rPr>
          <w:rFonts w:ascii="Arial" w:hAnsi="Arial" w:cs="Arial"/>
          <w:b/>
          <w:sz w:val="22"/>
          <w:szCs w:val="22"/>
        </w:rPr>
      </w:pPr>
      <w:r w:rsidRPr="0030710F">
        <w:rPr>
          <w:rFonts w:ascii="Arial" w:hAnsi="Arial" w:cs="Arial"/>
          <w:sz w:val="22"/>
          <w:szCs w:val="22"/>
        </w:rPr>
        <w:t>Uprawnionym z tytułu gwarancji jest</w:t>
      </w:r>
      <w:r w:rsidRPr="0030710F">
        <w:rPr>
          <w:rFonts w:ascii="Arial" w:hAnsi="Arial" w:cs="Arial"/>
          <w:b/>
          <w:sz w:val="22"/>
          <w:szCs w:val="22"/>
        </w:rPr>
        <w:t xml:space="preserve"> AQUANET Spółka Akcyjna, ul. Dolna Wilda 126, 61-492 Poznań, </w:t>
      </w:r>
      <w:r w:rsidRPr="0030710F">
        <w:rPr>
          <w:rFonts w:ascii="Arial" w:hAnsi="Arial" w:cs="Arial"/>
          <w:sz w:val="22"/>
          <w:szCs w:val="22"/>
        </w:rPr>
        <w:t>zwana dalej</w:t>
      </w:r>
      <w:r w:rsidRPr="0030710F">
        <w:rPr>
          <w:rFonts w:ascii="Arial" w:hAnsi="Arial" w:cs="Arial"/>
          <w:b/>
          <w:sz w:val="22"/>
          <w:szCs w:val="22"/>
        </w:rPr>
        <w:t xml:space="preserve"> Inwestorem.</w:t>
      </w:r>
    </w:p>
    <w:p w:rsidR="0012271E" w:rsidRPr="0030710F" w:rsidRDefault="0012271E" w:rsidP="0012271E">
      <w:pPr>
        <w:jc w:val="both"/>
        <w:rPr>
          <w:rFonts w:ascii="Arial" w:hAnsi="Arial" w:cs="Arial"/>
          <w:sz w:val="22"/>
          <w:szCs w:val="22"/>
        </w:rPr>
      </w:pPr>
    </w:p>
    <w:p w:rsidR="0012271E" w:rsidRPr="0030710F" w:rsidRDefault="0012271E" w:rsidP="0012271E">
      <w:pPr>
        <w:jc w:val="both"/>
        <w:rPr>
          <w:rFonts w:ascii="Arial" w:hAnsi="Arial" w:cs="Arial"/>
          <w:sz w:val="22"/>
          <w:szCs w:val="22"/>
        </w:rPr>
      </w:pPr>
      <w:r w:rsidRPr="0030710F">
        <w:rPr>
          <w:rFonts w:ascii="Arial" w:hAnsi="Arial" w:cs="Arial"/>
          <w:sz w:val="22"/>
          <w:szCs w:val="22"/>
        </w:rPr>
        <w:t>Wszelkie pojęcia pisane w niniejszej Karcie pisane z wielkiej litery mają znaczenie nadane im w Umowie, chyba że co innego wynika wprost z postanowień niniejszej Karty.</w:t>
      </w:r>
    </w:p>
    <w:p w:rsidR="0012271E" w:rsidRPr="0030710F" w:rsidRDefault="0012271E" w:rsidP="0012271E">
      <w:pPr>
        <w:jc w:val="both"/>
        <w:rPr>
          <w:rFonts w:ascii="Arial" w:hAnsi="Arial" w:cs="Arial"/>
          <w:sz w:val="22"/>
          <w:szCs w:val="22"/>
        </w:rPr>
      </w:pPr>
    </w:p>
    <w:p w:rsidR="0012271E" w:rsidRPr="0030710F" w:rsidRDefault="0012271E" w:rsidP="00C7441D">
      <w:pPr>
        <w:numPr>
          <w:ilvl w:val="0"/>
          <w:numId w:val="14"/>
        </w:numPr>
        <w:tabs>
          <w:tab w:val="clear" w:pos="720"/>
          <w:tab w:val="num" w:pos="0"/>
        </w:tabs>
        <w:ind w:left="360"/>
        <w:jc w:val="both"/>
        <w:rPr>
          <w:rFonts w:ascii="Arial" w:hAnsi="Arial" w:cs="Arial"/>
          <w:b/>
          <w:sz w:val="22"/>
          <w:szCs w:val="22"/>
        </w:rPr>
      </w:pPr>
      <w:r w:rsidRPr="0030710F">
        <w:rPr>
          <w:rFonts w:ascii="Arial" w:hAnsi="Arial" w:cs="Arial"/>
          <w:b/>
          <w:sz w:val="22"/>
          <w:szCs w:val="22"/>
        </w:rPr>
        <w:t>Przedmiot i termin gwarancji</w:t>
      </w:r>
    </w:p>
    <w:p w:rsidR="0012271E" w:rsidRPr="0030710F" w:rsidRDefault="0012271E" w:rsidP="0012271E">
      <w:pPr>
        <w:pStyle w:val="Stopka"/>
        <w:tabs>
          <w:tab w:val="num" w:pos="0"/>
        </w:tabs>
        <w:spacing w:before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30710F">
        <w:rPr>
          <w:rFonts w:ascii="Arial" w:hAnsi="Arial" w:cs="Arial"/>
          <w:sz w:val="22"/>
          <w:szCs w:val="22"/>
        </w:rPr>
        <w:t xml:space="preserve">1.1. </w:t>
      </w:r>
      <w:r w:rsidRPr="0030710F">
        <w:rPr>
          <w:rFonts w:ascii="Arial" w:hAnsi="Arial" w:cs="Arial"/>
          <w:sz w:val="22"/>
          <w:szCs w:val="22"/>
        </w:rPr>
        <w:tab/>
        <w:t>Niniejsza gwarancja obejmuje całość Przedmiotu Umowy określonego w Umowie</w:t>
      </w:r>
      <w:r w:rsidR="0003271F" w:rsidRPr="0030710F">
        <w:rPr>
          <w:rFonts w:ascii="Arial" w:hAnsi="Arial" w:cs="Arial"/>
          <w:sz w:val="22"/>
          <w:szCs w:val="22"/>
        </w:rPr>
        <w:t xml:space="preserve"> (Inwestycja AQ)</w:t>
      </w:r>
      <w:r w:rsidRPr="0030710F">
        <w:rPr>
          <w:rFonts w:ascii="Arial" w:hAnsi="Arial" w:cs="Arial"/>
          <w:sz w:val="22"/>
          <w:szCs w:val="22"/>
        </w:rPr>
        <w:t xml:space="preserve"> oraz w innych dokumentach będących integralną częścią Umowy. </w:t>
      </w:r>
    </w:p>
    <w:p w:rsidR="0012271E" w:rsidRPr="0030710F" w:rsidRDefault="0012271E" w:rsidP="0012271E">
      <w:pPr>
        <w:pStyle w:val="Stopka"/>
        <w:tabs>
          <w:tab w:val="num" w:pos="0"/>
        </w:tabs>
        <w:spacing w:before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30710F">
        <w:rPr>
          <w:rFonts w:ascii="Arial" w:hAnsi="Arial" w:cs="Arial"/>
          <w:sz w:val="22"/>
          <w:szCs w:val="22"/>
        </w:rPr>
        <w:t>1.2.</w:t>
      </w:r>
      <w:r w:rsidRPr="0030710F">
        <w:rPr>
          <w:rFonts w:ascii="Arial" w:hAnsi="Arial" w:cs="Arial"/>
          <w:sz w:val="22"/>
          <w:szCs w:val="22"/>
        </w:rPr>
        <w:tab/>
        <w:t>Gwarant odpowiada wobec Inwestora z tytułu niniejszej gwarancji za cały Przedmiot Umowy</w:t>
      </w:r>
      <w:r w:rsidR="0003271F" w:rsidRPr="0030710F">
        <w:rPr>
          <w:rFonts w:ascii="Arial" w:hAnsi="Arial" w:cs="Arial"/>
          <w:sz w:val="22"/>
          <w:szCs w:val="22"/>
        </w:rPr>
        <w:t xml:space="preserve"> (Inwestycja AQ)</w:t>
      </w:r>
      <w:r w:rsidRPr="0030710F">
        <w:rPr>
          <w:rFonts w:ascii="Arial" w:hAnsi="Arial" w:cs="Arial"/>
          <w:sz w:val="22"/>
          <w:szCs w:val="22"/>
        </w:rPr>
        <w:t>. Gwarant jest odpowiedzialny wobec Inwestora za realizację wszystkich zobowiązań, a w szczególności tych, o których mowa w punkcie 2.2.</w:t>
      </w:r>
    </w:p>
    <w:p w:rsidR="0012271E" w:rsidRPr="0030710F" w:rsidRDefault="0012271E" w:rsidP="0012271E">
      <w:pPr>
        <w:pStyle w:val="Stopka"/>
        <w:spacing w:before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30710F">
        <w:rPr>
          <w:rFonts w:ascii="Arial" w:hAnsi="Arial" w:cs="Arial"/>
          <w:sz w:val="22"/>
          <w:szCs w:val="22"/>
        </w:rPr>
        <w:t>1.3.</w:t>
      </w:r>
      <w:r w:rsidRPr="0030710F">
        <w:rPr>
          <w:rFonts w:ascii="Arial" w:hAnsi="Arial" w:cs="Arial"/>
          <w:sz w:val="22"/>
          <w:szCs w:val="22"/>
        </w:rPr>
        <w:tab/>
        <w:t>Termin gwarancji wynosi 36 miesięcy od daty wystawienia Protokołu Końcowego.</w:t>
      </w:r>
    </w:p>
    <w:p w:rsidR="0012271E" w:rsidRPr="0030710F" w:rsidRDefault="0012271E" w:rsidP="0012271E">
      <w:pPr>
        <w:pStyle w:val="Stopka"/>
        <w:tabs>
          <w:tab w:val="clear" w:pos="9072"/>
        </w:tabs>
        <w:spacing w:before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30710F">
        <w:rPr>
          <w:rFonts w:ascii="Arial" w:hAnsi="Arial" w:cs="Arial"/>
          <w:sz w:val="22"/>
          <w:szCs w:val="22"/>
        </w:rPr>
        <w:t>1.4.</w:t>
      </w:r>
      <w:r w:rsidRPr="0030710F">
        <w:rPr>
          <w:rFonts w:ascii="Arial" w:hAnsi="Arial" w:cs="Arial"/>
          <w:sz w:val="22"/>
          <w:szCs w:val="22"/>
        </w:rPr>
        <w:tab/>
        <w:t>Ilekroć w niniejszej Karcie Gwarancyjnej jest mowa o wadzie należy przez to rozumieć wadę fizyczną, o której mowa w art. 556</w:t>
      </w:r>
      <w:r w:rsidR="00A736B3">
        <w:rPr>
          <w:rFonts w:ascii="Arial" w:hAnsi="Arial" w:cs="Arial"/>
          <w:sz w:val="22"/>
          <w:szCs w:val="22"/>
          <w:vertAlign w:val="superscript"/>
        </w:rPr>
        <w:t>1</w:t>
      </w:r>
      <w:r w:rsidRPr="0030710F">
        <w:rPr>
          <w:rFonts w:ascii="Arial" w:hAnsi="Arial" w:cs="Arial"/>
          <w:sz w:val="22"/>
          <w:szCs w:val="22"/>
        </w:rPr>
        <w:t xml:space="preserve"> § 1 Kodeksu cywilnego.</w:t>
      </w:r>
    </w:p>
    <w:p w:rsidR="0012271E" w:rsidRPr="0030710F" w:rsidRDefault="0012271E" w:rsidP="0012271E">
      <w:pPr>
        <w:pStyle w:val="Stopka"/>
        <w:tabs>
          <w:tab w:val="clear" w:pos="9072"/>
        </w:tabs>
        <w:spacing w:before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30710F">
        <w:rPr>
          <w:rFonts w:ascii="Arial" w:hAnsi="Arial" w:cs="Arial"/>
          <w:sz w:val="22"/>
          <w:szCs w:val="22"/>
        </w:rPr>
        <w:t xml:space="preserve">1.5. </w:t>
      </w:r>
      <w:r w:rsidRPr="0030710F">
        <w:rPr>
          <w:rFonts w:ascii="Arial" w:hAnsi="Arial" w:cs="Arial"/>
          <w:sz w:val="22"/>
          <w:szCs w:val="22"/>
        </w:rPr>
        <w:tab/>
        <w:t>Ilekroć w dalszych postanowieniach jest mowa o „usunięciu wady” należy przez to rozumieć również wymianę rzeczy wchodzącej w zakres Przedmiotu Umowy</w:t>
      </w:r>
      <w:r w:rsidR="0003271F" w:rsidRPr="0030710F">
        <w:rPr>
          <w:rFonts w:ascii="Arial" w:hAnsi="Arial" w:cs="Arial"/>
          <w:sz w:val="22"/>
          <w:szCs w:val="22"/>
        </w:rPr>
        <w:t xml:space="preserve"> (Inwestycja AQ)</w:t>
      </w:r>
      <w:r w:rsidRPr="0030710F">
        <w:rPr>
          <w:rFonts w:ascii="Arial" w:hAnsi="Arial" w:cs="Arial"/>
          <w:sz w:val="22"/>
          <w:szCs w:val="22"/>
        </w:rPr>
        <w:t xml:space="preserve"> na wolną od wad.</w:t>
      </w:r>
    </w:p>
    <w:p w:rsidR="0012271E" w:rsidRPr="0030710F" w:rsidRDefault="0012271E" w:rsidP="0012271E">
      <w:pPr>
        <w:pStyle w:val="Stopka"/>
        <w:spacing w:before="120"/>
        <w:ind w:left="420" w:hanging="420"/>
        <w:jc w:val="both"/>
        <w:rPr>
          <w:rFonts w:ascii="Arial" w:hAnsi="Arial" w:cs="Arial"/>
          <w:sz w:val="22"/>
          <w:szCs w:val="22"/>
        </w:rPr>
      </w:pPr>
    </w:p>
    <w:p w:rsidR="0012271E" w:rsidRPr="0030710F" w:rsidRDefault="0012271E" w:rsidP="00C7441D">
      <w:pPr>
        <w:numPr>
          <w:ilvl w:val="0"/>
          <w:numId w:val="14"/>
        </w:numPr>
        <w:tabs>
          <w:tab w:val="clear" w:pos="720"/>
          <w:tab w:val="num" w:pos="0"/>
        </w:tabs>
        <w:ind w:left="360"/>
        <w:jc w:val="both"/>
        <w:rPr>
          <w:rFonts w:ascii="Arial" w:hAnsi="Arial" w:cs="Arial"/>
          <w:b/>
          <w:sz w:val="22"/>
          <w:szCs w:val="22"/>
        </w:rPr>
      </w:pPr>
      <w:r w:rsidRPr="0030710F">
        <w:rPr>
          <w:rFonts w:ascii="Arial" w:hAnsi="Arial" w:cs="Arial"/>
          <w:b/>
          <w:sz w:val="22"/>
          <w:szCs w:val="22"/>
        </w:rPr>
        <w:t>Obowiązki i uprawnienia stron</w:t>
      </w:r>
    </w:p>
    <w:p w:rsidR="0012271E" w:rsidRPr="0030710F" w:rsidRDefault="0012271E" w:rsidP="0012271E">
      <w:pPr>
        <w:pStyle w:val="Stopka"/>
        <w:spacing w:before="120"/>
        <w:ind w:left="540" w:hanging="540"/>
        <w:jc w:val="both"/>
        <w:rPr>
          <w:rFonts w:ascii="Arial" w:hAnsi="Arial" w:cs="Arial"/>
          <w:sz w:val="22"/>
          <w:szCs w:val="22"/>
        </w:rPr>
      </w:pPr>
      <w:r w:rsidRPr="0030710F">
        <w:rPr>
          <w:rFonts w:ascii="Arial" w:hAnsi="Arial" w:cs="Arial"/>
          <w:sz w:val="22"/>
          <w:szCs w:val="22"/>
        </w:rPr>
        <w:t>2.1.</w:t>
      </w:r>
      <w:r w:rsidRPr="0030710F">
        <w:rPr>
          <w:rFonts w:ascii="Arial" w:hAnsi="Arial" w:cs="Arial"/>
          <w:sz w:val="22"/>
          <w:szCs w:val="22"/>
        </w:rPr>
        <w:tab/>
        <w:t xml:space="preserve">W przypadku wystąpienia jakiejkolwiek wady w </w:t>
      </w:r>
      <w:bookmarkStart w:id="1" w:name="OLE_LINK1"/>
      <w:r w:rsidRPr="0030710F">
        <w:rPr>
          <w:rFonts w:ascii="Arial" w:hAnsi="Arial" w:cs="Arial"/>
          <w:sz w:val="22"/>
          <w:szCs w:val="22"/>
        </w:rPr>
        <w:t>Przedmiocie Umowy</w:t>
      </w:r>
      <w:bookmarkEnd w:id="1"/>
      <w:r w:rsidR="0003271F" w:rsidRPr="0030710F">
        <w:rPr>
          <w:rFonts w:ascii="Arial" w:hAnsi="Arial" w:cs="Arial"/>
          <w:sz w:val="22"/>
          <w:szCs w:val="22"/>
        </w:rPr>
        <w:t xml:space="preserve"> (Inwestycja AQ)</w:t>
      </w:r>
      <w:r w:rsidRPr="0030710F">
        <w:rPr>
          <w:rFonts w:ascii="Arial" w:hAnsi="Arial" w:cs="Arial"/>
          <w:sz w:val="22"/>
          <w:szCs w:val="22"/>
        </w:rPr>
        <w:t xml:space="preserve"> Inwestor jest uprawniony do:</w:t>
      </w:r>
    </w:p>
    <w:p w:rsidR="0012271E" w:rsidRPr="0030710F" w:rsidRDefault="0012271E" w:rsidP="00C7441D">
      <w:pPr>
        <w:numPr>
          <w:ilvl w:val="0"/>
          <w:numId w:val="11"/>
        </w:numPr>
        <w:tabs>
          <w:tab w:val="clear" w:pos="720"/>
        </w:tabs>
        <w:spacing w:before="60"/>
        <w:ind w:left="900"/>
        <w:jc w:val="both"/>
        <w:rPr>
          <w:rFonts w:ascii="Arial" w:hAnsi="Arial" w:cs="Arial"/>
          <w:sz w:val="22"/>
          <w:szCs w:val="22"/>
        </w:rPr>
      </w:pPr>
      <w:r w:rsidRPr="0030710F">
        <w:rPr>
          <w:rFonts w:ascii="Arial" w:hAnsi="Arial" w:cs="Arial"/>
          <w:sz w:val="22"/>
          <w:szCs w:val="22"/>
        </w:rPr>
        <w:t>żądania usunięcia wady Przedmiotu Umowy, a w przypadku, gdy dana rzecz wchodząca w zakres Przedmiotu Umowy była już dwukrotnie naprawiana – do żądania wymiany tej rzeczy na nową, wolną od wad;</w:t>
      </w:r>
    </w:p>
    <w:p w:rsidR="0012271E" w:rsidRPr="0030710F" w:rsidRDefault="0012271E" w:rsidP="00C7441D">
      <w:pPr>
        <w:numPr>
          <w:ilvl w:val="0"/>
          <w:numId w:val="11"/>
        </w:numPr>
        <w:tabs>
          <w:tab w:val="clear" w:pos="720"/>
        </w:tabs>
        <w:spacing w:before="60"/>
        <w:ind w:left="900"/>
        <w:jc w:val="both"/>
        <w:rPr>
          <w:rFonts w:ascii="Arial" w:hAnsi="Arial" w:cs="Arial"/>
          <w:sz w:val="22"/>
          <w:szCs w:val="22"/>
        </w:rPr>
      </w:pPr>
      <w:r w:rsidRPr="0030710F">
        <w:rPr>
          <w:rFonts w:ascii="Arial" w:hAnsi="Arial" w:cs="Arial"/>
          <w:sz w:val="22"/>
          <w:szCs w:val="22"/>
        </w:rPr>
        <w:t>wskazania trybu usunięcia wady/wymiany rzeczy na wolną od wad, wg trybów wskazanych w pkt 4;</w:t>
      </w:r>
    </w:p>
    <w:p w:rsidR="0012271E" w:rsidRPr="0030710F" w:rsidRDefault="0012271E" w:rsidP="00C7441D">
      <w:pPr>
        <w:numPr>
          <w:ilvl w:val="0"/>
          <w:numId w:val="11"/>
        </w:numPr>
        <w:tabs>
          <w:tab w:val="clear" w:pos="720"/>
        </w:tabs>
        <w:spacing w:before="60"/>
        <w:ind w:left="900"/>
        <w:jc w:val="both"/>
        <w:rPr>
          <w:rFonts w:ascii="Arial" w:hAnsi="Arial" w:cs="Arial"/>
          <w:sz w:val="22"/>
          <w:szCs w:val="22"/>
        </w:rPr>
      </w:pPr>
      <w:r w:rsidRPr="0030710F">
        <w:rPr>
          <w:rFonts w:ascii="Arial" w:hAnsi="Arial" w:cs="Arial"/>
          <w:sz w:val="22"/>
          <w:szCs w:val="22"/>
        </w:rPr>
        <w:t xml:space="preserve">żądania od Gwaranta odszkodowania (obejmującego zarówno poniesione straty, jak i utracone korzyści), jakiej doznał Inwestor lub osoby trzecie na skutek wystąpienia wad. </w:t>
      </w:r>
    </w:p>
    <w:p w:rsidR="0012271E" w:rsidRPr="0030710F" w:rsidRDefault="0012271E" w:rsidP="00C7441D">
      <w:pPr>
        <w:numPr>
          <w:ilvl w:val="0"/>
          <w:numId w:val="11"/>
        </w:numPr>
        <w:tabs>
          <w:tab w:val="clear" w:pos="720"/>
        </w:tabs>
        <w:spacing w:before="60"/>
        <w:ind w:left="900"/>
        <w:jc w:val="both"/>
        <w:rPr>
          <w:rFonts w:ascii="Arial" w:hAnsi="Arial" w:cs="Arial"/>
          <w:sz w:val="22"/>
          <w:szCs w:val="22"/>
        </w:rPr>
      </w:pPr>
      <w:r w:rsidRPr="0030710F">
        <w:rPr>
          <w:rFonts w:ascii="Arial" w:hAnsi="Arial" w:cs="Arial"/>
          <w:sz w:val="22"/>
          <w:szCs w:val="22"/>
        </w:rPr>
        <w:t xml:space="preserve">żądania od Gwaranta kary umownej za nieterminowe usunięcie wad/wymianę rzeczy na wolną od wad w wysokości 0,5% Wynagrodzenia (bez VAT) za każdy dzień opóźnienia, nie więcej jednak niż 20% Wynagrodzenia; </w:t>
      </w:r>
    </w:p>
    <w:p w:rsidR="0012271E" w:rsidRPr="0030710F" w:rsidRDefault="0012271E" w:rsidP="00C7441D">
      <w:pPr>
        <w:numPr>
          <w:ilvl w:val="0"/>
          <w:numId w:val="11"/>
        </w:numPr>
        <w:tabs>
          <w:tab w:val="clear" w:pos="720"/>
        </w:tabs>
        <w:spacing w:before="60"/>
        <w:ind w:left="900"/>
        <w:jc w:val="both"/>
        <w:rPr>
          <w:rFonts w:ascii="Arial" w:hAnsi="Arial" w:cs="Arial"/>
          <w:sz w:val="22"/>
          <w:szCs w:val="22"/>
        </w:rPr>
      </w:pPr>
      <w:r w:rsidRPr="0030710F">
        <w:rPr>
          <w:rFonts w:ascii="Arial" w:hAnsi="Arial" w:cs="Arial"/>
          <w:sz w:val="22"/>
          <w:szCs w:val="22"/>
        </w:rPr>
        <w:t>żądania od Gwaranta uzupełniającego odszkodowania za nieterminowe usunięcia wad/wymianę rzeczy na wolne od wad w wysokości przewyższającej kwotę kary umownej, o której mowa w lit. d).</w:t>
      </w:r>
    </w:p>
    <w:p w:rsidR="0012271E" w:rsidRPr="0030710F" w:rsidRDefault="0012271E" w:rsidP="0012271E">
      <w:pPr>
        <w:pStyle w:val="Stopka"/>
        <w:spacing w:before="120"/>
        <w:ind w:left="540" w:hanging="540"/>
        <w:jc w:val="both"/>
        <w:rPr>
          <w:rFonts w:ascii="Arial" w:hAnsi="Arial" w:cs="Arial"/>
          <w:sz w:val="22"/>
          <w:szCs w:val="22"/>
        </w:rPr>
      </w:pPr>
      <w:r w:rsidRPr="0030710F">
        <w:rPr>
          <w:rFonts w:ascii="Arial" w:hAnsi="Arial" w:cs="Arial"/>
          <w:sz w:val="22"/>
          <w:szCs w:val="22"/>
        </w:rPr>
        <w:lastRenderedPageBreak/>
        <w:t>2.2.</w:t>
      </w:r>
      <w:r w:rsidRPr="0030710F">
        <w:rPr>
          <w:rFonts w:ascii="Arial" w:hAnsi="Arial" w:cs="Arial"/>
          <w:sz w:val="22"/>
          <w:szCs w:val="22"/>
        </w:rPr>
        <w:tab/>
        <w:t>W przypadku wystąpienia jakiejkolwiek wady w Przedmiocie Umowy</w:t>
      </w:r>
      <w:r w:rsidR="0003271F" w:rsidRPr="0030710F">
        <w:rPr>
          <w:rFonts w:ascii="Arial" w:hAnsi="Arial" w:cs="Arial"/>
          <w:sz w:val="22"/>
          <w:szCs w:val="22"/>
        </w:rPr>
        <w:t xml:space="preserve"> (Inwestycja AQ)</w:t>
      </w:r>
      <w:r w:rsidRPr="0030710F">
        <w:rPr>
          <w:rFonts w:ascii="Arial" w:hAnsi="Arial" w:cs="Arial"/>
          <w:sz w:val="22"/>
          <w:szCs w:val="22"/>
        </w:rPr>
        <w:t xml:space="preserve"> Gwarant jest zobowiązany do:</w:t>
      </w:r>
    </w:p>
    <w:p w:rsidR="0012271E" w:rsidRPr="0030710F" w:rsidRDefault="0012271E" w:rsidP="00C7441D">
      <w:pPr>
        <w:numPr>
          <w:ilvl w:val="0"/>
          <w:numId w:val="12"/>
        </w:numPr>
        <w:tabs>
          <w:tab w:val="clear" w:pos="720"/>
        </w:tabs>
        <w:spacing w:before="60"/>
        <w:ind w:left="900"/>
        <w:jc w:val="both"/>
        <w:rPr>
          <w:rFonts w:ascii="Arial" w:hAnsi="Arial" w:cs="Arial"/>
          <w:sz w:val="22"/>
          <w:szCs w:val="22"/>
        </w:rPr>
      </w:pPr>
      <w:r w:rsidRPr="0030710F">
        <w:rPr>
          <w:rFonts w:ascii="Arial" w:hAnsi="Arial" w:cs="Arial"/>
          <w:sz w:val="22"/>
          <w:szCs w:val="22"/>
        </w:rPr>
        <w:t>terminowego spełnienia żądania Inwestora dotyczącego usunięcia wady, przy czym usunięcie wady może nastąpić również poprzez wymianę rzeczy wchodzącej w zakres Przedmiotu Umowy na wolną od wad;</w:t>
      </w:r>
    </w:p>
    <w:p w:rsidR="0012271E" w:rsidRPr="0030710F" w:rsidRDefault="0012271E" w:rsidP="00C7441D">
      <w:pPr>
        <w:numPr>
          <w:ilvl w:val="0"/>
          <w:numId w:val="12"/>
        </w:numPr>
        <w:tabs>
          <w:tab w:val="clear" w:pos="720"/>
        </w:tabs>
        <w:spacing w:before="60"/>
        <w:ind w:left="900"/>
        <w:jc w:val="both"/>
        <w:rPr>
          <w:rFonts w:ascii="Arial" w:hAnsi="Arial" w:cs="Arial"/>
          <w:sz w:val="22"/>
          <w:szCs w:val="22"/>
        </w:rPr>
      </w:pPr>
      <w:r w:rsidRPr="0030710F">
        <w:rPr>
          <w:rFonts w:ascii="Arial" w:hAnsi="Arial" w:cs="Arial"/>
          <w:sz w:val="22"/>
          <w:szCs w:val="22"/>
        </w:rPr>
        <w:t>terminowego spełnienia żądania Inwestora dotyczącego wymiany rzeczy na wolną od wad;</w:t>
      </w:r>
    </w:p>
    <w:p w:rsidR="0012271E" w:rsidRPr="0030710F" w:rsidRDefault="0012271E" w:rsidP="00C7441D">
      <w:pPr>
        <w:numPr>
          <w:ilvl w:val="0"/>
          <w:numId w:val="12"/>
        </w:numPr>
        <w:tabs>
          <w:tab w:val="clear" w:pos="720"/>
        </w:tabs>
        <w:spacing w:before="60"/>
        <w:ind w:left="900"/>
        <w:jc w:val="both"/>
        <w:rPr>
          <w:rFonts w:ascii="Arial" w:hAnsi="Arial" w:cs="Arial"/>
          <w:sz w:val="22"/>
          <w:szCs w:val="22"/>
        </w:rPr>
      </w:pPr>
      <w:r w:rsidRPr="0030710F">
        <w:rPr>
          <w:rFonts w:ascii="Arial" w:hAnsi="Arial" w:cs="Arial"/>
          <w:sz w:val="22"/>
          <w:szCs w:val="22"/>
        </w:rPr>
        <w:t>zapłaty odszkodowania, o którym mowa w punkcie 2.1.c);</w:t>
      </w:r>
    </w:p>
    <w:p w:rsidR="0012271E" w:rsidRPr="0030710F" w:rsidRDefault="0012271E" w:rsidP="00C7441D">
      <w:pPr>
        <w:numPr>
          <w:ilvl w:val="0"/>
          <w:numId w:val="12"/>
        </w:numPr>
        <w:tabs>
          <w:tab w:val="clear" w:pos="720"/>
        </w:tabs>
        <w:spacing w:before="60"/>
        <w:ind w:left="900"/>
        <w:jc w:val="both"/>
        <w:rPr>
          <w:rFonts w:ascii="Arial" w:hAnsi="Arial" w:cs="Arial"/>
          <w:sz w:val="22"/>
          <w:szCs w:val="22"/>
        </w:rPr>
      </w:pPr>
      <w:r w:rsidRPr="0030710F">
        <w:rPr>
          <w:rFonts w:ascii="Arial" w:hAnsi="Arial" w:cs="Arial"/>
          <w:sz w:val="22"/>
          <w:szCs w:val="22"/>
        </w:rPr>
        <w:t>zapłaty kary umownej, o której mowa w punkcie 2.1.d);</w:t>
      </w:r>
    </w:p>
    <w:p w:rsidR="0012271E" w:rsidRPr="0030710F" w:rsidRDefault="0012271E" w:rsidP="00C7441D">
      <w:pPr>
        <w:numPr>
          <w:ilvl w:val="0"/>
          <w:numId w:val="12"/>
        </w:numPr>
        <w:tabs>
          <w:tab w:val="clear" w:pos="720"/>
        </w:tabs>
        <w:spacing w:before="60"/>
        <w:ind w:left="900"/>
        <w:jc w:val="both"/>
        <w:rPr>
          <w:rFonts w:ascii="Arial" w:hAnsi="Arial" w:cs="Arial"/>
          <w:sz w:val="22"/>
          <w:szCs w:val="22"/>
        </w:rPr>
      </w:pPr>
      <w:r w:rsidRPr="0030710F">
        <w:rPr>
          <w:rFonts w:ascii="Arial" w:hAnsi="Arial" w:cs="Arial"/>
          <w:sz w:val="22"/>
          <w:szCs w:val="22"/>
        </w:rPr>
        <w:t>zapłaty odszkodowania, o którym w punkcie 2.1.e).</w:t>
      </w:r>
    </w:p>
    <w:p w:rsidR="0012271E" w:rsidRPr="0030710F" w:rsidRDefault="0012271E" w:rsidP="0012271E">
      <w:pPr>
        <w:pStyle w:val="Stopka"/>
        <w:jc w:val="both"/>
        <w:rPr>
          <w:rFonts w:ascii="Arial" w:hAnsi="Arial" w:cs="Arial"/>
          <w:sz w:val="22"/>
          <w:szCs w:val="22"/>
        </w:rPr>
      </w:pPr>
    </w:p>
    <w:p w:rsidR="0012271E" w:rsidRPr="0030710F" w:rsidRDefault="0012271E" w:rsidP="00C7441D">
      <w:pPr>
        <w:numPr>
          <w:ilvl w:val="0"/>
          <w:numId w:val="14"/>
        </w:numPr>
        <w:tabs>
          <w:tab w:val="clear" w:pos="720"/>
          <w:tab w:val="num" w:pos="0"/>
        </w:tabs>
        <w:ind w:left="360"/>
        <w:jc w:val="both"/>
        <w:rPr>
          <w:rFonts w:ascii="Arial" w:hAnsi="Arial" w:cs="Arial"/>
          <w:b/>
          <w:sz w:val="22"/>
          <w:szCs w:val="22"/>
        </w:rPr>
      </w:pPr>
      <w:r w:rsidRPr="0030710F">
        <w:rPr>
          <w:rFonts w:ascii="Arial" w:hAnsi="Arial" w:cs="Arial"/>
          <w:b/>
          <w:sz w:val="22"/>
          <w:szCs w:val="22"/>
        </w:rPr>
        <w:t>Przeglądy gwarancyjne</w:t>
      </w:r>
    </w:p>
    <w:p w:rsidR="0012271E" w:rsidRPr="0030710F" w:rsidRDefault="0012271E" w:rsidP="00C7441D">
      <w:pPr>
        <w:pStyle w:val="Stopka"/>
        <w:numPr>
          <w:ilvl w:val="1"/>
          <w:numId w:val="15"/>
        </w:numPr>
        <w:tabs>
          <w:tab w:val="clear" w:pos="780"/>
          <w:tab w:val="clear" w:pos="4536"/>
          <w:tab w:val="clear" w:pos="9072"/>
          <w:tab w:val="left" w:pos="567"/>
        </w:tabs>
        <w:spacing w:before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30710F">
        <w:rPr>
          <w:rFonts w:ascii="Arial" w:hAnsi="Arial" w:cs="Arial"/>
          <w:sz w:val="22"/>
          <w:szCs w:val="22"/>
        </w:rPr>
        <w:t>Gwarant zobowiązuje się zapewnić w okresie gwarancji serwis gwarancyjny oraz pokrywać wszystkie koszty związane z przeglądem serwisowym, wymianą elementów eksploatacyjnych i naprawą Przedmiotu Umowy</w:t>
      </w:r>
      <w:r w:rsidR="0003271F" w:rsidRPr="0030710F">
        <w:rPr>
          <w:rFonts w:ascii="Arial" w:hAnsi="Arial" w:cs="Arial"/>
          <w:sz w:val="22"/>
          <w:szCs w:val="22"/>
        </w:rPr>
        <w:t xml:space="preserve"> (Inwestycja AQ)</w:t>
      </w:r>
      <w:r w:rsidRPr="0030710F">
        <w:rPr>
          <w:rFonts w:ascii="Arial" w:hAnsi="Arial" w:cs="Arial"/>
          <w:sz w:val="22"/>
          <w:szCs w:val="22"/>
        </w:rPr>
        <w:t xml:space="preserve"> w zakresie zalecanym, wymaganym lub zastrzeżonym do wykonania przez serwis producenta. Informacje o czynnościach podlegających serwisowi producenta zawarte będą w instrukcjach, kartach gwarancyjnych, dokumentacji techniczno-ruchowej lub innych dokumentach określających zasady eksploatacji Przedmiotów Umowy.</w:t>
      </w:r>
    </w:p>
    <w:p w:rsidR="0012271E" w:rsidRPr="0030710F" w:rsidRDefault="0012271E" w:rsidP="00C7441D">
      <w:pPr>
        <w:numPr>
          <w:ilvl w:val="1"/>
          <w:numId w:val="16"/>
        </w:numPr>
        <w:tabs>
          <w:tab w:val="clear" w:pos="1080"/>
          <w:tab w:val="left" w:pos="567"/>
          <w:tab w:val="num" w:pos="720"/>
          <w:tab w:val="num" w:pos="1440"/>
        </w:tabs>
        <w:spacing w:before="60"/>
        <w:ind w:left="567" w:hanging="567"/>
        <w:jc w:val="both"/>
        <w:rPr>
          <w:rFonts w:ascii="Arial" w:hAnsi="Arial" w:cs="Arial"/>
          <w:sz w:val="22"/>
          <w:szCs w:val="22"/>
        </w:rPr>
      </w:pPr>
      <w:r w:rsidRPr="0030710F">
        <w:rPr>
          <w:rFonts w:ascii="Arial" w:hAnsi="Arial" w:cs="Arial"/>
          <w:sz w:val="22"/>
          <w:szCs w:val="22"/>
        </w:rPr>
        <w:t xml:space="preserve">Niewykonanie przez Gwaranta obowiązków wynikających z punktu 3.1 spowoduje ich wykonanie przez Zamawiającego na koszt i ryzyko Gwaranta. </w:t>
      </w:r>
    </w:p>
    <w:p w:rsidR="0012271E" w:rsidRPr="0030710F" w:rsidRDefault="0012271E" w:rsidP="00C7441D">
      <w:pPr>
        <w:pStyle w:val="Stopka"/>
        <w:numPr>
          <w:ilvl w:val="1"/>
          <w:numId w:val="16"/>
        </w:numPr>
        <w:tabs>
          <w:tab w:val="clear" w:pos="1080"/>
          <w:tab w:val="clear" w:pos="4536"/>
          <w:tab w:val="clear" w:pos="9072"/>
          <w:tab w:val="left" w:pos="567"/>
        </w:tabs>
        <w:spacing w:before="120"/>
        <w:ind w:left="567" w:hanging="567"/>
        <w:jc w:val="both"/>
        <w:rPr>
          <w:rFonts w:ascii="Arial" w:hAnsi="Arial" w:cs="Arial"/>
          <w:i/>
          <w:sz w:val="22"/>
          <w:szCs w:val="22"/>
        </w:rPr>
      </w:pPr>
      <w:r w:rsidRPr="0030710F">
        <w:rPr>
          <w:rFonts w:ascii="Arial" w:hAnsi="Arial" w:cs="Arial"/>
          <w:sz w:val="22"/>
          <w:szCs w:val="22"/>
        </w:rPr>
        <w:t xml:space="preserve">Komisyjne przeglądy gwarancyjne odbywać się będą co </w:t>
      </w:r>
      <w:r w:rsidRPr="0030710F">
        <w:rPr>
          <w:rFonts w:ascii="Arial" w:hAnsi="Arial" w:cs="Arial"/>
          <w:b/>
          <w:sz w:val="22"/>
          <w:szCs w:val="22"/>
        </w:rPr>
        <w:t>12 miesięcy</w:t>
      </w:r>
      <w:r w:rsidRPr="0030710F">
        <w:rPr>
          <w:rFonts w:ascii="Arial" w:hAnsi="Arial" w:cs="Arial"/>
          <w:sz w:val="22"/>
          <w:szCs w:val="22"/>
        </w:rPr>
        <w:t xml:space="preserve"> w okresie obowiązywania niniejszej gwarancji, a ich koszt obciążać będzie w całości Gwaranta. </w:t>
      </w:r>
    </w:p>
    <w:p w:rsidR="0012271E" w:rsidRPr="0030710F" w:rsidRDefault="0012271E" w:rsidP="00C7441D">
      <w:pPr>
        <w:pStyle w:val="Stopka"/>
        <w:numPr>
          <w:ilvl w:val="1"/>
          <w:numId w:val="16"/>
        </w:numPr>
        <w:tabs>
          <w:tab w:val="clear" w:pos="1080"/>
          <w:tab w:val="clear" w:pos="4536"/>
          <w:tab w:val="clear" w:pos="9072"/>
          <w:tab w:val="left" w:pos="567"/>
        </w:tabs>
        <w:spacing w:before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30710F">
        <w:rPr>
          <w:rFonts w:ascii="Arial" w:hAnsi="Arial" w:cs="Arial"/>
          <w:sz w:val="22"/>
          <w:szCs w:val="22"/>
        </w:rPr>
        <w:t xml:space="preserve">Datę, godzinę i miejsce dokonania przeglądu gwarancyjnego wyznacza Inwestor, zawiadamiając o nim Gwaranta na piśmie z co najmniej </w:t>
      </w:r>
      <w:r w:rsidRPr="0030710F">
        <w:rPr>
          <w:rFonts w:ascii="Arial" w:hAnsi="Arial" w:cs="Arial"/>
          <w:b/>
          <w:sz w:val="22"/>
          <w:szCs w:val="22"/>
        </w:rPr>
        <w:t xml:space="preserve">14-dniowym </w:t>
      </w:r>
      <w:r w:rsidRPr="0030710F">
        <w:rPr>
          <w:rFonts w:ascii="Arial" w:hAnsi="Arial" w:cs="Arial"/>
          <w:sz w:val="22"/>
          <w:szCs w:val="22"/>
        </w:rPr>
        <w:t>wyprzedzeniem.</w:t>
      </w:r>
    </w:p>
    <w:p w:rsidR="0012271E" w:rsidRPr="0030710F" w:rsidRDefault="0012271E" w:rsidP="00C7441D">
      <w:pPr>
        <w:pStyle w:val="Stopka"/>
        <w:numPr>
          <w:ilvl w:val="1"/>
          <w:numId w:val="16"/>
        </w:numPr>
        <w:tabs>
          <w:tab w:val="clear" w:pos="1080"/>
          <w:tab w:val="clear" w:pos="4536"/>
          <w:tab w:val="clear" w:pos="9072"/>
          <w:tab w:val="left" w:pos="567"/>
        </w:tabs>
        <w:spacing w:before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30710F">
        <w:rPr>
          <w:rFonts w:ascii="Arial" w:hAnsi="Arial" w:cs="Arial"/>
          <w:sz w:val="22"/>
          <w:szCs w:val="22"/>
        </w:rPr>
        <w:t>W skład komisji przeglądowej będą wchodziły co najmniej 2 osoby wyznaczone przez Zamawiającego oraz co najmniej 2 osoby wyznaczone przez Gwaranta.</w:t>
      </w:r>
    </w:p>
    <w:p w:rsidR="0012271E" w:rsidRPr="0030710F" w:rsidRDefault="0012271E" w:rsidP="00C7441D">
      <w:pPr>
        <w:pStyle w:val="Stopka"/>
        <w:numPr>
          <w:ilvl w:val="1"/>
          <w:numId w:val="16"/>
        </w:numPr>
        <w:tabs>
          <w:tab w:val="clear" w:pos="1080"/>
          <w:tab w:val="clear" w:pos="4536"/>
          <w:tab w:val="clear" w:pos="9072"/>
          <w:tab w:val="left" w:pos="567"/>
        </w:tabs>
        <w:spacing w:before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30710F">
        <w:rPr>
          <w:rFonts w:ascii="Arial" w:hAnsi="Arial" w:cs="Arial"/>
          <w:sz w:val="22"/>
          <w:szCs w:val="22"/>
        </w:rPr>
        <w:t>Jeżeli Gwarant został prawidłowo zawiadomiony o terminie i miejscu dokonania przeglądu gwarancyjnego, niestawienie się jego przedstawicieli nie będzie wywoływało żadnych ujemnych skutków dla ważności i skuteczności ustaleń dokonanych przez komisję przeglądową.</w:t>
      </w:r>
    </w:p>
    <w:p w:rsidR="0012271E" w:rsidRPr="0030710F" w:rsidRDefault="0012271E" w:rsidP="00C7441D">
      <w:pPr>
        <w:pStyle w:val="Stopka"/>
        <w:numPr>
          <w:ilvl w:val="1"/>
          <w:numId w:val="16"/>
        </w:numPr>
        <w:tabs>
          <w:tab w:val="clear" w:pos="1080"/>
          <w:tab w:val="clear" w:pos="4536"/>
          <w:tab w:val="clear" w:pos="9072"/>
          <w:tab w:val="left" w:pos="567"/>
        </w:tabs>
        <w:spacing w:before="120"/>
        <w:ind w:left="567" w:right="-2" w:hanging="567"/>
        <w:jc w:val="both"/>
        <w:rPr>
          <w:rFonts w:ascii="Arial" w:hAnsi="Arial" w:cs="Arial"/>
          <w:sz w:val="22"/>
          <w:szCs w:val="22"/>
        </w:rPr>
      </w:pPr>
      <w:r w:rsidRPr="0030710F">
        <w:rPr>
          <w:rFonts w:ascii="Arial" w:hAnsi="Arial" w:cs="Arial"/>
          <w:sz w:val="22"/>
          <w:szCs w:val="22"/>
        </w:rPr>
        <w:t>Z każdego przeglądu gwarancyjnego sporządzany będzie szczegółowy Protokół Przeglądu Gwarancyjnego, w co najmniej dwóch egzemplarzach, po jednym dla Inwestora i dla Gwaranta. W przypadku nieobecności przedstawicieli Gwaranta, Inwestor niezwłocznie przesyła Gwarantowi jeden egzemplarz Protokołu Przeglądu Gwarancyjnego.</w:t>
      </w:r>
    </w:p>
    <w:p w:rsidR="0012271E" w:rsidRPr="0030710F" w:rsidRDefault="0012271E" w:rsidP="0012271E">
      <w:pPr>
        <w:pStyle w:val="Stopka"/>
        <w:jc w:val="both"/>
        <w:rPr>
          <w:rFonts w:ascii="Arial" w:hAnsi="Arial" w:cs="Arial"/>
          <w:sz w:val="22"/>
          <w:szCs w:val="22"/>
        </w:rPr>
      </w:pPr>
    </w:p>
    <w:p w:rsidR="0012271E" w:rsidRPr="0030710F" w:rsidRDefault="0012271E" w:rsidP="00C7441D">
      <w:pPr>
        <w:numPr>
          <w:ilvl w:val="0"/>
          <w:numId w:val="16"/>
        </w:numPr>
        <w:jc w:val="both"/>
        <w:rPr>
          <w:rFonts w:ascii="Arial" w:hAnsi="Arial" w:cs="Arial"/>
          <w:b/>
          <w:sz w:val="22"/>
          <w:szCs w:val="22"/>
        </w:rPr>
      </w:pPr>
      <w:r w:rsidRPr="0030710F">
        <w:rPr>
          <w:rFonts w:ascii="Arial" w:hAnsi="Arial" w:cs="Arial"/>
          <w:b/>
          <w:sz w:val="22"/>
          <w:szCs w:val="22"/>
        </w:rPr>
        <w:t>Wezwanie do usunięcia wady</w:t>
      </w:r>
    </w:p>
    <w:p w:rsidR="0012271E" w:rsidRPr="0030710F" w:rsidRDefault="0012271E" w:rsidP="0012271E">
      <w:pPr>
        <w:pStyle w:val="Tekstpodstawowywcity"/>
        <w:spacing w:before="120"/>
        <w:rPr>
          <w:rFonts w:cs="Arial"/>
          <w:szCs w:val="22"/>
        </w:rPr>
      </w:pPr>
      <w:r w:rsidRPr="0030710F">
        <w:rPr>
          <w:rFonts w:cs="Arial"/>
          <w:szCs w:val="22"/>
        </w:rPr>
        <w:t>W przypadku ujawnienia wady w czasie innym niż podczas przeglądu gwarancyjnego, Zamawiający niezwłocznie, lecz nie później niż w ciągu 3 dni od ujawnienia wady, zawiadomi na piśmie o niej Gwaranta, równocześnie wzywając go do usunięcia ujawnionej wady w odpowiednim trybie:</w:t>
      </w:r>
    </w:p>
    <w:p w:rsidR="0012271E" w:rsidRPr="0030710F" w:rsidRDefault="0012271E" w:rsidP="00C7441D">
      <w:pPr>
        <w:numPr>
          <w:ilvl w:val="0"/>
          <w:numId w:val="13"/>
        </w:numPr>
        <w:spacing w:before="60"/>
        <w:jc w:val="both"/>
        <w:rPr>
          <w:rFonts w:ascii="Arial" w:hAnsi="Arial" w:cs="Arial"/>
          <w:sz w:val="22"/>
          <w:szCs w:val="22"/>
        </w:rPr>
      </w:pPr>
      <w:r w:rsidRPr="0030710F">
        <w:rPr>
          <w:rFonts w:ascii="Arial" w:hAnsi="Arial" w:cs="Arial"/>
          <w:sz w:val="22"/>
          <w:szCs w:val="22"/>
        </w:rPr>
        <w:t>zwykłym, o którym mowa w punkcie 5.1, lub</w:t>
      </w:r>
    </w:p>
    <w:p w:rsidR="0012271E" w:rsidRPr="0030710F" w:rsidRDefault="0012271E" w:rsidP="00C7441D">
      <w:pPr>
        <w:numPr>
          <w:ilvl w:val="0"/>
          <w:numId w:val="13"/>
        </w:numPr>
        <w:spacing w:before="60"/>
        <w:jc w:val="both"/>
        <w:rPr>
          <w:rFonts w:ascii="Arial" w:hAnsi="Arial" w:cs="Arial"/>
          <w:sz w:val="22"/>
          <w:szCs w:val="22"/>
        </w:rPr>
      </w:pPr>
      <w:r w:rsidRPr="0030710F">
        <w:rPr>
          <w:rFonts w:ascii="Arial" w:hAnsi="Arial" w:cs="Arial"/>
          <w:sz w:val="22"/>
          <w:szCs w:val="22"/>
        </w:rPr>
        <w:t>awaryjnym, o którym mowa w punkcie 5.2.</w:t>
      </w:r>
    </w:p>
    <w:p w:rsidR="0012271E" w:rsidRDefault="0012271E" w:rsidP="0012271E">
      <w:pPr>
        <w:jc w:val="both"/>
        <w:rPr>
          <w:rFonts w:ascii="Arial" w:hAnsi="Arial" w:cs="Arial"/>
          <w:sz w:val="22"/>
          <w:szCs w:val="22"/>
        </w:rPr>
      </w:pPr>
    </w:p>
    <w:p w:rsidR="001D6E2E" w:rsidRPr="0030710F" w:rsidRDefault="001D6E2E" w:rsidP="0012271E">
      <w:pPr>
        <w:jc w:val="both"/>
        <w:rPr>
          <w:rFonts w:ascii="Arial" w:hAnsi="Arial" w:cs="Arial"/>
          <w:sz w:val="22"/>
          <w:szCs w:val="22"/>
        </w:rPr>
      </w:pPr>
    </w:p>
    <w:p w:rsidR="0012271E" w:rsidRPr="0030710F" w:rsidRDefault="0012271E" w:rsidP="00C7441D">
      <w:pPr>
        <w:numPr>
          <w:ilvl w:val="0"/>
          <w:numId w:val="16"/>
        </w:numPr>
        <w:jc w:val="both"/>
        <w:rPr>
          <w:rFonts w:ascii="Arial" w:hAnsi="Arial" w:cs="Arial"/>
          <w:b/>
          <w:sz w:val="22"/>
          <w:szCs w:val="22"/>
        </w:rPr>
      </w:pPr>
      <w:r w:rsidRPr="0030710F">
        <w:rPr>
          <w:rFonts w:ascii="Arial" w:hAnsi="Arial" w:cs="Arial"/>
          <w:b/>
          <w:sz w:val="22"/>
          <w:szCs w:val="22"/>
        </w:rPr>
        <w:t>Tryby usuwania wad</w:t>
      </w:r>
    </w:p>
    <w:p w:rsidR="0012271E" w:rsidRPr="0030710F" w:rsidRDefault="0012271E" w:rsidP="0012271E">
      <w:pPr>
        <w:pStyle w:val="Stopka"/>
        <w:spacing w:before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30710F">
        <w:rPr>
          <w:rFonts w:ascii="Arial" w:hAnsi="Arial" w:cs="Arial"/>
          <w:sz w:val="22"/>
          <w:szCs w:val="22"/>
        </w:rPr>
        <w:t>5.1.</w:t>
      </w:r>
      <w:r w:rsidRPr="0030710F">
        <w:rPr>
          <w:rFonts w:ascii="Arial" w:hAnsi="Arial" w:cs="Arial"/>
          <w:sz w:val="22"/>
          <w:szCs w:val="22"/>
        </w:rPr>
        <w:tab/>
        <w:t xml:space="preserve">Gwarant obowiązany jest przystąpić do usuwania ujawnionej wady w ciągu 7 dni od daty otrzymania wezwania, o którym mowa w punkcie 4 lub daty sporządzenia </w:t>
      </w:r>
      <w:r w:rsidRPr="0030710F">
        <w:rPr>
          <w:rFonts w:ascii="Arial" w:hAnsi="Arial" w:cs="Arial"/>
          <w:sz w:val="22"/>
          <w:szCs w:val="22"/>
        </w:rPr>
        <w:lastRenderedPageBreak/>
        <w:t>Protokołu Przeglądu Gwarancyjnego. Termin usuwania wad nie może być dłuższy niż 14 dni od daty otrzymania wezwania lub daty sporządzenia Protokołu Przeglądu Gwarancyjnego (tryb zwykły).</w:t>
      </w:r>
    </w:p>
    <w:p w:rsidR="0012271E" w:rsidRPr="0030710F" w:rsidRDefault="0012271E" w:rsidP="0012271E">
      <w:pPr>
        <w:pStyle w:val="Stopka"/>
        <w:spacing w:before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30710F">
        <w:rPr>
          <w:rFonts w:ascii="Arial" w:hAnsi="Arial" w:cs="Arial"/>
          <w:sz w:val="22"/>
          <w:szCs w:val="22"/>
        </w:rPr>
        <w:t>5.2.</w:t>
      </w:r>
      <w:r w:rsidRPr="0030710F">
        <w:rPr>
          <w:rFonts w:ascii="Arial" w:hAnsi="Arial" w:cs="Arial"/>
          <w:sz w:val="22"/>
          <w:szCs w:val="22"/>
        </w:rPr>
        <w:tab/>
        <w:t>W przypadku, kiedy ujawniona wada ogranicza lub uniemożliwia działanie części lub całości przedmiotu, a także, gdy ujawniona wada może skutkować zagrożeniem dla życia lub zdrowia ludzi, zanieczyszczeniem środowiska, wystąpieniem niepowetowanej szkody dla Inwestora lub osób trzecich a także przerwaniem ciągłości transportu ścieków lub ograniczeniami komunikacyjnymi, jak również w innych uzasadnionych przypadkach awaria zostanie usunięta przez Inwestora a Gwarant zostanie obciążony koszami takiej naprawy. Gwarant zostanie powiadomiony o takiej awarii niezwłocznie od jej wystąpienia (tryb awaryjny).</w:t>
      </w:r>
    </w:p>
    <w:p w:rsidR="0012271E" w:rsidRPr="0030710F" w:rsidRDefault="0012271E" w:rsidP="00C7441D">
      <w:pPr>
        <w:numPr>
          <w:ilvl w:val="0"/>
          <w:numId w:val="9"/>
        </w:numPr>
        <w:tabs>
          <w:tab w:val="clear" w:pos="720"/>
          <w:tab w:val="num" w:pos="851"/>
        </w:tabs>
        <w:ind w:left="851" w:hanging="284"/>
        <w:jc w:val="both"/>
        <w:rPr>
          <w:rFonts w:ascii="Arial" w:hAnsi="Arial" w:cs="Arial"/>
          <w:sz w:val="22"/>
          <w:szCs w:val="22"/>
        </w:rPr>
      </w:pPr>
      <w:r w:rsidRPr="0030710F">
        <w:rPr>
          <w:rFonts w:ascii="Arial" w:hAnsi="Arial" w:cs="Arial"/>
          <w:sz w:val="22"/>
          <w:szCs w:val="22"/>
        </w:rPr>
        <w:t>Inwestor powiadomi Gwaranta o ujawnionej wadzie niezwłocznie po jej wystąpieniu zgodnie z zapisami dotyczącymi komunikacji (punkt 6),</w:t>
      </w:r>
    </w:p>
    <w:p w:rsidR="0012271E" w:rsidRPr="0030710F" w:rsidRDefault="0012271E" w:rsidP="00C7441D">
      <w:pPr>
        <w:numPr>
          <w:ilvl w:val="0"/>
          <w:numId w:val="9"/>
        </w:numPr>
        <w:tabs>
          <w:tab w:val="clear" w:pos="720"/>
          <w:tab w:val="num" w:pos="851"/>
        </w:tabs>
        <w:ind w:left="851" w:hanging="284"/>
        <w:jc w:val="both"/>
        <w:rPr>
          <w:rFonts w:ascii="Arial" w:hAnsi="Arial" w:cs="Arial"/>
          <w:sz w:val="22"/>
          <w:szCs w:val="22"/>
        </w:rPr>
      </w:pPr>
      <w:r w:rsidRPr="0030710F">
        <w:rPr>
          <w:rFonts w:ascii="Arial" w:hAnsi="Arial" w:cs="Arial"/>
          <w:sz w:val="22"/>
          <w:szCs w:val="22"/>
        </w:rPr>
        <w:t>W ciągu 2 godzin od powiadomienia o ujawnionej wadzie Gwarant udzieli odpowiedzi, czy przystąpi do usuwania wady w ciągu 4 godzin od uzyskania informacji o jej zaistnieniu,</w:t>
      </w:r>
    </w:p>
    <w:p w:rsidR="0012271E" w:rsidRPr="0030710F" w:rsidRDefault="0012271E" w:rsidP="00C7441D">
      <w:pPr>
        <w:numPr>
          <w:ilvl w:val="0"/>
          <w:numId w:val="9"/>
        </w:numPr>
        <w:tabs>
          <w:tab w:val="clear" w:pos="720"/>
          <w:tab w:val="num" w:pos="851"/>
        </w:tabs>
        <w:ind w:left="851" w:hanging="284"/>
        <w:jc w:val="both"/>
        <w:rPr>
          <w:rFonts w:ascii="Arial" w:hAnsi="Arial" w:cs="Arial"/>
          <w:sz w:val="22"/>
          <w:szCs w:val="22"/>
        </w:rPr>
      </w:pPr>
      <w:r w:rsidRPr="0030710F">
        <w:rPr>
          <w:rFonts w:ascii="Arial" w:hAnsi="Arial" w:cs="Arial"/>
          <w:sz w:val="22"/>
          <w:szCs w:val="22"/>
        </w:rPr>
        <w:t>Gwarant przystąpi do usuwania wady w ciągu 4 godzin od uzyskania informacji o jej zaistnieniu, po udzieleniu pozytywnej odpowiedzi, o której mowa w punkcie 5.2 b),</w:t>
      </w:r>
    </w:p>
    <w:p w:rsidR="0012271E" w:rsidRPr="0030710F" w:rsidRDefault="0012271E" w:rsidP="00C7441D">
      <w:pPr>
        <w:numPr>
          <w:ilvl w:val="0"/>
          <w:numId w:val="9"/>
        </w:numPr>
        <w:tabs>
          <w:tab w:val="clear" w:pos="720"/>
          <w:tab w:val="num" w:pos="851"/>
        </w:tabs>
        <w:ind w:left="851" w:hanging="284"/>
        <w:jc w:val="both"/>
        <w:rPr>
          <w:rFonts w:ascii="Arial" w:hAnsi="Arial" w:cs="Arial"/>
          <w:sz w:val="22"/>
          <w:szCs w:val="22"/>
        </w:rPr>
      </w:pPr>
      <w:r w:rsidRPr="0030710F">
        <w:rPr>
          <w:rFonts w:ascii="Arial" w:hAnsi="Arial" w:cs="Arial"/>
          <w:sz w:val="22"/>
          <w:szCs w:val="22"/>
        </w:rPr>
        <w:t>Jeżeli w ciągu 2 godzin od powiadomienia o ujawnionej wadzie Gwarant udzieli odpowiedzi negatywnej lub nie udzieli żadnej odpowiedzi, o której mowa w punkcie 5.2 b) lub nie przystąpi do usuwania wady w ciągu 4 godzin od uzyskania informacji o jej zaistnieniu, wada zostanie usunięta przez Inwestora lub podmiot trzeci na zlecenie Inwestora, a Gwarant zostanie obciążony ryzykiem i kosztami takiej naprawy.</w:t>
      </w:r>
    </w:p>
    <w:p w:rsidR="0012271E" w:rsidRPr="0030710F" w:rsidRDefault="0012271E" w:rsidP="0012271E">
      <w:pPr>
        <w:spacing w:before="120"/>
        <w:ind w:left="540" w:hanging="540"/>
        <w:jc w:val="both"/>
        <w:rPr>
          <w:rFonts w:ascii="Arial" w:hAnsi="Arial" w:cs="Arial"/>
          <w:sz w:val="22"/>
          <w:szCs w:val="22"/>
        </w:rPr>
      </w:pPr>
      <w:r w:rsidRPr="0030710F">
        <w:rPr>
          <w:rFonts w:ascii="Arial" w:hAnsi="Arial" w:cs="Arial"/>
          <w:sz w:val="22"/>
          <w:szCs w:val="22"/>
        </w:rPr>
        <w:t>5.3. Usuni</w:t>
      </w:r>
      <w:r w:rsidR="00DC71FC">
        <w:rPr>
          <w:rFonts w:ascii="Arial" w:hAnsi="Arial" w:cs="Arial"/>
          <w:sz w:val="22"/>
          <w:szCs w:val="22"/>
        </w:rPr>
        <w:t>ę</w:t>
      </w:r>
      <w:r w:rsidRPr="0030710F">
        <w:rPr>
          <w:rFonts w:ascii="Arial" w:hAnsi="Arial" w:cs="Arial"/>
          <w:sz w:val="22"/>
          <w:szCs w:val="22"/>
        </w:rPr>
        <w:t>cie wad rzeczy w trybie awaryjnym przez Inwestora lub wyznaczony przez Inwestora podmiot trzeci, nie spowoduje utraty uprawnień gwarancyjnych dla tej rzeczy.</w:t>
      </w:r>
    </w:p>
    <w:p w:rsidR="0012271E" w:rsidRPr="0030710F" w:rsidRDefault="0012271E" w:rsidP="0012271E">
      <w:pPr>
        <w:pStyle w:val="Stopka"/>
        <w:spacing w:before="120"/>
        <w:ind w:left="540" w:hanging="540"/>
        <w:jc w:val="both"/>
        <w:rPr>
          <w:rFonts w:ascii="Arial" w:hAnsi="Arial" w:cs="Arial"/>
          <w:sz w:val="22"/>
          <w:szCs w:val="22"/>
        </w:rPr>
      </w:pPr>
      <w:r w:rsidRPr="0030710F">
        <w:rPr>
          <w:rFonts w:ascii="Arial" w:hAnsi="Arial" w:cs="Arial"/>
          <w:sz w:val="22"/>
          <w:szCs w:val="22"/>
        </w:rPr>
        <w:t>5.4.</w:t>
      </w:r>
      <w:r w:rsidRPr="0030710F">
        <w:rPr>
          <w:rFonts w:ascii="Arial" w:hAnsi="Arial" w:cs="Arial"/>
          <w:sz w:val="22"/>
          <w:szCs w:val="22"/>
        </w:rPr>
        <w:tab/>
        <w:t>Usunięcie wad uważa się za skutecznie dokonane z chwilą podpisania przez obie strony Protokołu odbioru prac z usuwania wad.</w:t>
      </w:r>
    </w:p>
    <w:p w:rsidR="0012271E" w:rsidRPr="0030710F" w:rsidRDefault="0012271E" w:rsidP="0012271E">
      <w:pPr>
        <w:pStyle w:val="Stopka"/>
        <w:spacing w:before="120"/>
        <w:ind w:left="540" w:hanging="540"/>
        <w:jc w:val="both"/>
        <w:rPr>
          <w:rFonts w:ascii="Arial" w:hAnsi="Arial" w:cs="Arial"/>
          <w:sz w:val="22"/>
          <w:szCs w:val="22"/>
        </w:rPr>
      </w:pPr>
    </w:p>
    <w:p w:rsidR="0012271E" w:rsidRPr="0030710F" w:rsidRDefault="0012271E" w:rsidP="00C7441D">
      <w:pPr>
        <w:numPr>
          <w:ilvl w:val="0"/>
          <w:numId w:val="16"/>
        </w:numPr>
        <w:jc w:val="both"/>
        <w:rPr>
          <w:rFonts w:ascii="Arial" w:hAnsi="Arial" w:cs="Arial"/>
          <w:b/>
          <w:sz w:val="22"/>
          <w:szCs w:val="22"/>
        </w:rPr>
      </w:pPr>
      <w:r w:rsidRPr="0030710F">
        <w:rPr>
          <w:rFonts w:ascii="Arial" w:hAnsi="Arial" w:cs="Arial"/>
          <w:b/>
          <w:sz w:val="22"/>
          <w:szCs w:val="22"/>
        </w:rPr>
        <w:t>Komunikacja</w:t>
      </w:r>
    </w:p>
    <w:p w:rsidR="0012271E" w:rsidRPr="0030710F" w:rsidRDefault="0012271E" w:rsidP="0012271E">
      <w:pPr>
        <w:pStyle w:val="Stopka"/>
        <w:spacing w:before="120"/>
        <w:ind w:left="540" w:hanging="540"/>
        <w:jc w:val="both"/>
        <w:rPr>
          <w:rFonts w:ascii="Arial" w:hAnsi="Arial" w:cs="Arial"/>
          <w:sz w:val="22"/>
          <w:szCs w:val="22"/>
        </w:rPr>
      </w:pPr>
      <w:r w:rsidRPr="0030710F">
        <w:rPr>
          <w:rFonts w:ascii="Arial" w:hAnsi="Arial" w:cs="Arial"/>
          <w:sz w:val="22"/>
          <w:szCs w:val="22"/>
        </w:rPr>
        <w:t>6.1.</w:t>
      </w:r>
      <w:r w:rsidRPr="0030710F">
        <w:rPr>
          <w:rFonts w:ascii="Arial" w:hAnsi="Arial" w:cs="Arial"/>
          <w:sz w:val="22"/>
          <w:szCs w:val="22"/>
        </w:rPr>
        <w:tab/>
        <w:t>Wszelka komunikacja pomiędzy stronami wymaga zachowania formy pisemnej.</w:t>
      </w:r>
    </w:p>
    <w:p w:rsidR="0012271E" w:rsidRPr="0030710F" w:rsidRDefault="0012271E" w:rsidP="0012271E">
      <w:pPr>
        <w:pStyle w:val="Stopka"/>
        <w:spacing w:before="120"/>
        <w:ind w:left="540" w:hanging="540"/>
        <w:jc w:val="both"/>
        <w:rPr>
          <w:rFonts w:ascii="Arial" w:hAnsi="Arial" w:cs="Arial"/>
          <w:sz w:val="22"/>
          <w:szCs w:val="22"/>
        </w:rPr>
      </w:pPr>
      <w:r w:rsidRPr="0030710F">
        <w:rPr>
          <w:rFonts w:ascii="Arial" w:hAnsi="Arial" w:cs="Arial"/>
          <w:sz w:val="22"/>
          <w:szCs w:val="22"/>
        </w:rPr>
        <w:t>6.2.</w:t>
      </w:r>
      <w:r w:rsidRPr="0030710F">
        <w:rPr>
          <w:rFonts w:ascii="Arial" w:hAnsi="Arial" w:cs="Arial"/>
          <w:sz w:val="22"/>
          <w:szCs w:val="22"/>
        </w:rPr>
        <w:tab/>
        <w:t xml:space="preserve">Komunikacja za pomocą telefaksu lub poczty elektronicznej (e-mail) będzie uważana za prowadzoną w formie pisemnej, o ile treść telefaksu lub e-mail zostanie niezwłocznie potwierdzona na piśmie, tj. poprzez nadanie w dniu roboczym następującym po dniu wysłania telefaksu lub e-mail listu poleconego potwierdzającego treść telefaksu lub e-mail. </w:t>
      </w:r>
    </w:p>
    <w:p w:rsidR="0012271E" w:rsidRPr="0030710F" w:rsidRDefault="0012271E" w:rsidP="00C7441D">
      <w:pPr>
        <w:numPr>
          <w:ilvl w:val="1"/>
          <w:numId w:val="10"/>
        </w:numPr>
        <w:tabs>
          <w:tab w:val="clear" w:pos="792"/>
          <w:tab w:val="num" w:pos="540"/>
        </w:tabs>
        <w:spacing w:before="120"/>
        <w:ind w:left="540" w:hanging="540"/>
        <w:jc w:val="both"/>
        <w:rPr>
          <w:rFonts w:ascii="Arial" w:hAnsi="Arial" w:cs="Arial"/>
          <w:sz w:val="22"/>
          <w:szCs w:val="22"/>
        </w:rPr>
      </w:pPr>
      <w:r w:rsidRPr="0030710F">
        <w:rPr>
          <w:rFonts w:ascii="Arial" w:hAnsi="Arial" w:cs="Arial"/>
          <w:sz w:val="22"/>
          <w:szCs w:val="22"/>
        </w:rPr>
        <w:t>Podczas stosowania wezwania do usuwania wad w trybie awaryjnym zgodnie z punktem 5.2 Inwestor zobowiązany jest sporządzić protokół zawierający chronologiczny zapis wydarzeń wraz z treścią rozmów, rozmów telefonicznych, telefaksów lub e-maili związanych z wezwaniem Wykonawcy do usunięcia wady. Protokół należy przesłać wykonawcy zgodnie z punktem 6.2.</w:t>
      </w:r>
    </w:p>
    <w:p w:rsidR="0012271E" w:rsidRPr="0030710F" w:rsidRDefault="0012271E" w:rsidP="0012271E">
      <w:pPr>
        <w:pStyle w:val="Stopka"/>
        <w:spacing w:before="120"/>
        <w:ind w:left="540" w:hanging="540"/>
        <w:jc w:val="both"/>
        <w:rPr>
          <w:rFonts w:ascii="Arial" w:hAnsi="Arial" w:cs="Arial"/>
          <w:sz w:val="22"/>
          <w:szCs w:val="22"/>
        </w:rPr>
      </w:pPr>
      <w:r w:rsidRPr="0030710F">
        <w:rPr>
          <w:rFonts w:ascii="Arial" w:hAnsi="Arial" w:cs="Arial"/>
          <w:sz w:val="22"/>
          <w:szCs w:val="22"/>
        </w:rPr>
        <w:t>6.4.</w:t>
      </w:r>
      <w:r w:rsidRPr="0030710F">
        <w:rPr>
          <w:rFonts w:ascii="Arial" w:hAnsi="Arial" w:cs="Arial"/>
          <w:sz w:val="22"/>
          <w:szCs w:val="22"/>
        </w:rPr>
        <w:tab/>
        <w:t>Nie odebranie albo odmowa odebrania listu poleconego lub innej korespondencji pisemnej będzie traktowane równoważnie z jego doręczeniem.</w:t>
      </w:r>
    </w:p>
    <w:p w:rsidR="00AA145A" w:rsidRDefault="0012271E" w:rsidP="0012271E">
      <w:pPr>
        <w:pStyle w:val="Stopka"/>
        <w:spacing w:before="120"/>
        <w:ind w:left="540" w:hanging="540"/>
        <w:jc w:val="both"/>
        <w:rPr>
          <w:rFonts w:ascii="Arial" w:hAnsi="Arial" w:cs="Arial"/>
          <w:sz w:val="22"/>
          <w:szCs w:val="22"/>
        </w:rPr>
      </w:pPr>
      <w:r w:rsidRPr="0030710F">
        <w:rPr>
          <w:rFonts w:ascii="Arial" w:hAnsi="Arial" w:cs="Arial"/>
          <w:sz w:val="22"/>
          <w:szCs w:val="22"/>
        </w:rPr>
        <w:t>6.5.</w:t>
      </w:r>
      <w:r w:rsidRPr="0030710F">
        <w:rPr>
          <w:rFonts w:ascii="Arial" w:hAnsi="Arial" w:cs="Arial"/>
          <w:sz w:val="22"/>
          <w:szCs w:val="22"/>
        </w:rPr>
        <w:tab/>
        <w:t>Wszelkie pisma skierowane do Gwaranta należy wysyłać na adres</w:t>
      </w:r>
      <w:r w:rsidR="00AA145A" w:rsidRPr="0030710F">
        <w:rPr>
          <w:rFonts w:ascii="Arial" w:hAnsi="Arial" w:cs="Arial"/>
          <w:sz w:val="22"/>
          <w:szCs w:val="22"/>
        </w:rPr>
        <w:t>:</w:t>
      </w:r>
    </w:p>
    <w:p w:rsidR="0012271E" w:rsidRPr="0030710F" w:rsidRDefault="00AA145A" w:rsidP="0012271E">
      <w:pPr>
        <w:pStyle w:val="Stopka"/>
        <w:spacing w:before="120"/>
        <w:ind w:left="540" w:hanging="5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</w:t>
      </w:r>
      <w:r w:rsidRPr="005E2162">
        <w:rPr>
          <w:rFonts w:eastAsia="TrebuchetMS"/>
          <w:i/>
          <w:sz w:val="22"/>
          <w:szCs w:val="22"/>
        </w:rPr>
        <w:t>(adres Gwaranta, osoba do kontaktu, nr telefonu, nr faksu, adres e-mail)</w:t>
      </w:r>
    </w:p>
    <w:p w:rsidR="0012271E" w:rsidRPr="0030710F" w:rsidRDefault="0012271E" w:rsidP="0012271E">
      <w:pPr>
        <w:pStyle w:val="Stopka"/>
        <w:spacing w:before="120"/>
        <w:ind w:left="540" w:hanging="540"/>
        <w:jc w:val="both"/>
        <w:rPr>
          <w:rFonts w:ascii="Arial" w:hAnsi="Arial" w:cs="Arial"/>
          <w:sz w:val="22"/>
          <w:szCs w:val="22"/>
        </w:rPr>
      </w:pPr>
      <w:r w:rsidRPr="0030710F">
        <w:rPr>
          <w:rFonts w:ascii="Arial" w:hAnsi="Arial" w:cs="Arial"/>
          <w:sz w:val="22"/>
          <w:szCs w:val="22"/>
        </w:rPr>
        <w:t xml:space="preserve">6.6.  Wszelkie pisma skierowane do Zamawiającego należy wysyłać na adres: </w:t>
      </w:r>
    </w:p>
    <w:p w:rsidR="00AA145A" w:rsidRDefault="00AA145A" w:rsidP="00AA145A">
      <w:pPr>
        <w:ind w:left="720"/>
        <w:jc w:val="both"/>
        <w:rPr>
          <w:rFonts w:eastAsia="TrebuchetMS"/>
          <w:i/>
          <w:sz w:val="22"/>
          <w:szCs w:val="22"/>
        </w:rPr>
      </w:pPr>
      <w:r w:rsidRPr="005E2162">
        <w:rPr>
          <w:rFonts w:eastAsia="TrebuchetMS"/>
          <w:i/>
          <w:sz w:val="22"/>
          <w:szCs w:val="22"/>
        </w:rPr>
        <w:t>(adres Zamawiającego, osoba do kontaktu, nr telefonu, nr faksu, adres e-mail)</w:t>
      </w:r>
    </w:p>
    <w:p w:rsidR="0012271E" w:rsidRPr="0030710F" w:rsidRDefault="0012271E" w:rsidP="0012271E">
      <w:pPr>
        <w:pStyle w:val="Stopka"/>
        <w:spacing w:before="120"/>
        <w:ind w:left="540" w:hanging="540"/>
        <w:jc w:val="both"/>
        <w:rPr>
          <w:rFonts w:ascii="Arial" w:hAnsi="Arial" w:cs="Arial"/>
          <w:sz w:val="22"/>
          <w:szCs w:val="22"/>
        </w:rPr>
      </w:pPr>
      <w:r w:rsidRPr="0030710F">
        <w:rPr>
          <w:rFonts w:ascii="Arial" w:hAnsi="Arial" w:cs="Arial"/>
          <w:sz w:val="22"/>
          <w:szCs w:val="22"/>
        </w:rPr>
        <w:t>6.7.</w:t>
      </w:r>
      <w:r w:rsidRPr="0030710F">
        <w:rPr>
          <w:rFonts w:ascii="Arial" w:hAnsi="Arial" w:cs="Arial"/>
          <w:sz w:val="22"/>
          <w:szCs w:val="22"/>
        </w:rPr>
        <w:tab/>
        <w:t xml:space="preserve">O zmianach danych adresowych, o których mowa w punktach 6.5. i 6.6. strony obowiązane są informować się niezwłocznie, nie później niż 7 dni od chwili zaistnienia </w:t>
      </w:r>
      <w:r w:rsidRPr="0030710F">
        <w:rPr>
          <w:rFonts w:ascii="Arial" w:hAnsi="Arial" w:cs="Arial"/>
          <w:sz w:val="22"/>
          <w:szCs w:val="22"/>
        </w:rPr>
        <w:lastRenderedPageBreak/>
        <w:t>zmian, pod rygorem uznania wysłania korespondencji pod ostatnio znany adres za skutecznie doręczoną.</w:t>
      </w:r>
    </w:p>
    <w:p w:rsidR="0012271E" w:rsidRPr="0030710F" w:rsidRDefault="0012271E" w:rsidP="0012271E">
      <w:pPr>
        <w:pStyle w:val="Stopka"/>
        <w:spacing w:before="120"/>
        <w:ind w:left="540" w:hanging="540"/>
        <w:jc w:val="both"/>
        <w:rPr>
          <w:rFonts w:ascii="Arial" w:hAnsi="Arial" w:cs="Arial"/>
          <w:sz w:val="22"/>
          <w:szCs w:val="22"/>
        </w:rPr>
      </w:pPr>
      <w:r w:rsidRPr="0030710F">
        <w:rPr>
          <w:rFonts w:ascii="Arial" w:hAnsi="Arial" w:cs="Arial"/>
          <w:sz w:val="22"/>
          <w:szCs w:val="22"/>
        </w:rPr>
        <w:t>6.8.</w:t>
      </w:r>
      <w:r w:rsidRPr="0030710F">
        <w:rPr>
          <w:rFonts w:ascii="Arial" w:hAnsi="Arial" w:cs="Arial"/>
          <w:sz w:val="22"/>
          <w:szCs w:val="22"/>
        </w:rPr>
        <w:tab/>
        <w:t>Gwarant jest obowiązany w terminie 7 dni od daty złożenia wniosku o upadłość lub likwidację powiadomić na piśmie o tym fakcie Zamawiającego.</w:t>
      </w:r>
    </w:p>
    <w:p w:rsidR="0012271E" w:rsidRPr="0030710F" w:rsidRDefault="0012271E" w:rsidP="0012271E">
      <w:pPr>
        <w:jc w:val="both"/>
        <w:rPr>
          <w:rFonts w:ascii="Arial" w:hAnsi="Arial" w:cs="Arial"/>
          <w:sz w:val="22"/>
          <w:szCs w:val="22"/>
        </w:rPr>
      </w:pPr>
    </w:p>
    <w:p w:rsidR="0012271E" w:rsidRPr="0030710F" w:rsidRDefault="0012271E" w:rsidP="00C7441D">
      <w:pPr>
        <w:numPr>
          <w:ilvl w:val="0"/>
          <w:numId w:val="16"/>
        </w:numPr>
        <w:jc w:val="both"/>
        <w:rPr>
          <w:rFonts w:ascii="Arial" w:hAnsi="Arial" w:cs="Arial"/>
          <w:b/>
          <w:sz w:val="22"/>
          <w:szCs w:val="22"/>
        </w:rPr>
      </w:pPr>
      <w:r w:rsidRPr="0030710F">
        <w:rPr>
          <w:rFonts w:ascii="Arial" w:hAnsi="Arial" w:cs="Arial"/>
          <w:b/>
          <w:sz w:val="22"/>
          <w:szCs w:val="22"/>
        </w:rPr>
        <w:t>Postanowienia końcowe</w:t>
      </w:r>
    </w:p>
    <w:p w:rsidR="0012271E" w:rsidRPr="0030710F" w:rsidRDefault="0012271E" w:rsidP="0012271E">
      <w:pPr>
        <w:pStyle w:val="Stopka"/>
        <w:spacing w:before="120"/>
        <w:ind w:left="540" w:hanging="540"/>
        <w:jc w:val="both"/>
        <w:rPr>
          <w:rFonts w:ascii="Arial" w:hAnsi="Arial" w:cs="Arial"/>
          <w:sz w:val="22"/>
          <w:szCs w:val="22"/>
        </w:rPr>
      </w:pPr>
      <w:r w:rsidRPr="0030710F">
        <w:rPr>
          <w:rFonts w:ascii="Arial" w:hAnsi="Arial" w:cs="Arial"/>
          <w:sz w:val="22"/>
          <w:szCs w:val="22"/>
        </w:rPr>
        <w:t>7.1.</w:t>
      </w:r>
      <w:r w:rsidRPr="0030710F">
        <w:rPr>
          <w:rFonts w:ascii="Arial" w:hAnsi="Arial" w:cs="Arial"/>
          <w:sz w:val="22"/>
          <w:szCs w:val="22"/>
        </w:rPr>
        <w:tab/>
        <w:t>W sprawach nieuregulowanych niniejszą Kartą Gwarancyjną zastosowanie mają odpowiednie przepisy prawa polskiego, w szczególności Kodeksu cywilnego.</w:t>
      </w:r>
    </w:p>
    <w:p w:rsidR="0012271E" w:rsidRPr="0030710F" w:rsidRDefault="0012271E" w:rsidP="0012271E">
      <w:pPr>
        <w:pStyle w:val="Stopka"/>
        <w:spacing w:before="120"/>
        <w:ind w:left="540" w:hanging="540"/>
        <w:jc w:val="both"/>
        <w:rPr>
          <w:rFonts w:ascii="Arial" w:hAnsi="Arial" w:cs="Arial"/>
          <w:sz w:val="22"/>
          <w:szCs w:val="22"/>
        </w:rPr>
      </w:pPr>
      <w:r w:rsidRPr="0030710F">
        <w:rPr>
          <w:rFonts w:ascii="Arial" w:hAnsi="Arial" w:cs="Arial"/>
          <w:sz w:val="22"/>
          <w:szCs w:val="22"/>
        </w:rPr>
        <w:t>7.2.</w:t>
      </w:r>
      <w:r w:rsidRPr="0030710F">
        <w:rPr>
          <w:rFonts w:ascii="Arial" w:hAnsi="Arial" w:cs="Arial"/>
          <w:sz w:val="22"/>
          <w:szCs w:val="22"/>
        </w:rPr>
        <w:tab/>
        <w:t>Niniejsza Karta Gwarancyjna jest integralną częścią Umowy.</w:t>
      </w:r>
    </w:p>
    <w:p w:rsidR="0012271E" w:rsidRPr="0030710F" w:rsidRDefault="0012271E" w:rsidP="0012271E">
      <w:pPr>
        <w:pStyle w:val="Stopka"/>
        <w:spacing w:before="120"/>
        <w:ind w:left="540" w:hanging="540"/>
        <w:jc w:val="both"/>
        <w:rPr>
          <w:rFonts w:ascii="Arial" w:hAnsi="Arial" w:cs="Arial"/>
          <w:sz w:val="22"/>
          <w:szCs w:val="22"/>
        </w:rPr>
      </w:pPr>
      <w:r w:rsidRPr="0030710F">
        <w:rPr>
          <w:rFonts w:ascii="Arial" w:hAnsi="Arial" w:cs="Arial"/>
          <w:sz w:val="22"/>
          <w:szCs w:val="22"/>
        </w:rPr>
        <w:t>7.3.</w:t>
      </w:r>
      <w:r w:rsidRPr="0030710F">
        <w:rPr>
          <w:rFonts w:ascii="Arial" w:hAnsi="Arial" w:cs="Arial"/>
          <w:sz w:val="22"/>
          <w:szCs w:val="22"/>
        </w:rPr>
        <w:tab/>
        <w:t>Wszelkie zmiany niniejszej Karty Gwarancyjnej wymagają formy pisemnej pod rygorem nieważności.</w:t>
      </w:r>
    </w:p>
    <w:p w:rsidR="0012271E" w:rsidRPr="0030710F" w:rsidRDefault="0012271E" w:rsidP="0012271E">
      <w:pPr>
        <w:pStyle w:val="Stopka"/>
        <w:spacing w:before="120"/>
        <w:ind w:left="540" w:hanging="540"/>
        <w:jc w:val="both"/>
        <w:rPr>
          <w:rFonts w:ascii="Arial" w:hAnsi="Arial" w:cs="Arial"/>
          <w:sz w:val="22"/>
          <w:szCs w:val="22"/>
        </w:rPr>
      </w:pPr>
    </w:p>
    <w:p w:rsidR="0012271E" w:rsidRPr="0030710F" w:rsidRDefault="0012271E" w:rsidP="0012271E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9250" w:type="dxa"/>
        <w:tblInd w:w="4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70"/>
        <w:gridCol w:w="4680"/>
      </w:tblGrid>
      <w:tr w:rsidR="0012271E" w:rsidRPr="0030710F" w:rsidTr="00C7441D">
        <w:tblPrEx>
          <w:tblCellMar>
            <w:top w:w="0" w:type="dxa"/>
            <w:bottom w:w="0" w:type="dxa"/>
          </w:tblCellMar>
        </w:tblPrEx>
        <w:tc>
          <w:tcPr>
            <w:tcW w:w="4570" w:type="dxa"/>
            <w:tcBorders>
              <w:top w:val="nil"/>
              <w:left w:val="nil"/>
              <w:bottom w:val="nil"/>
              <w:right w:val="nil"/>
            </w:tcBorders>
          </w:tcPr>
          <w:p w:rsidR="0012271E" w:rsidRPr="0030710F" w:rsidRDefault="0012271E" w:rsidP="00C7441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710F">
              <w:rPr>
                <w:rFonts w:ascii="Arial" w:hAnsi="Arial" w:cs="Arial"/>
                <w:b/>
                <w:bCs/>
                <w:sz w:val="22"/>
                <w:szCs w:val="22"/>
              </w:rPr>
              <w:t>ZAMAWIAJĄCY: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:rsidR="0012271E" w:rsidRPr="0030710F" w:rsidRDefault="0012271E" w:rsidP="00C7441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710F">
              <w:rPr>
                <w:rFonts w:ascii="Arial" w:hAnsi="Arial" w:cs="Arial"/>
                <w:b/>
                <w:bCs/>
                <w:sz w:val="22"/>
                <w:szCs w:val="22"/>
              </w:rPr>
              <w:t>GWARANT:</w:t>
            </w:r>
          </w:p>
        </w:tc>
      </w:tr>
      <w:tr w:rsidR="0012271E" w:rsidRPr="00B72E87" w:rsidTr="00C7441D">
        <w:tblPrEx>
          <w:tblCellMar>
            <w:top w:w="0" w:type="dxa"/>
            <w:bottom w:w="0" w:type="dxa"/>
          </w:tblCellMar>
        </w:tblPrEx>
        <w:trPr>
          <w:trHeight w:val="543"/>
        </w:trPr>
        <w:tc>
          <w:tcPr>
            <w:tcW w:w="4570" w:type="dxa"/>
            <w:tcBorders>
              <w:top w:val="nil"/>
              <w:left w:val="nil"/>
              <w:bottom w:val="nil"/>
              <w:right w:val="nil"/>
            </w:tcBorders>
          </w:tcPr>
          <w:p w:rsidR="0012271E" w:rsidRPr="0030710F" w:rsidRDefault="0012271E" w:rsidP="00C7441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710F">
              <w:rPr>
                <w:rFonts w:ascii="Arial" w:hAnsi="Arial" w:cs="Arial"/>
                <w:sz w:val="22"/>
                <w:szCs w:val="22"/>
              </w:rPr>
              <w:t>Podpisano i opatrzono pieczęcią</w:t>
            </w:r>
          </w:p>
          <w:p w:rsidR="0012271E" w:rsidRPr="0030710F" w:rsidRDefault="0012271E" w:rsidP="00C7441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:rsidR="0012271E" w:rsidRPr="00B72E87" w:rsidRDefault="0012271E" w:rsidP="00C7441D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710F">
              <w:rPr>
                <w:rFonts w:ascii="Arial" w:hAnsi="Arial" w:cs="Arial"/>
                <w:sz w:val="22"/>
                <w:szCs w:val="22"/>
              </w:rPr>
              <w:t>Podpisano i opatrzono pieczęcią</w:t>
            </w:r>
          </w:p>
        </w:tc>
      </w:tr>
    </w:tbl>
    <w:p w:rsidR="0012271E" w:rsidRPr="00B72E87" w:rsidRDefault="0012271E" w:rsidP="0012271E">
      <w:pPr>
        <w:jc w:val="both"/>
        <w:rPr>
          <w:rFonts w:ascii="Arial" w:hAnsi="Arial" w:cs="Arial"/>
        </w:rPr>
      </w:pPr>
    </w:p>
    <w:p w:rsidR="0012271E" w:rsidRPr="00B72E87" w:rsidRDefault="0012271E">
      <w:pPr>
        <w:rPr>
          <w:rFonts w:ascii="Arial" w:hAnsi="Arial" w:cs="Arial"/>
          <w:sz w:val="22"/>
          <w:szCs w:val="22"/>
        </w:rPr>
      </w:pPr>
    </w:p>
    <w:sectPr w:rsidR="0012271E" w:rsidRPr="00B72E87" w:rsidSect="00D619FB">
      <w:footerReference w:type="even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85695" w:rsidRDefault="00085695">
      <w:r>
        <w:separator/>
      </w:r>
    </w:p>
  </w:endnote>
  <w:endnote w:type="continuationSeparator" w:id="0">
    <w:p w:rsidR="00085695" w:rsidRDefault="000856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MS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6BBB" w:rsidRDefault="00A36BB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36BBB" w:rsidRDefault="00A36BB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6BBB" w:rsidRDefault="00A36BBB">
    <w:pPr>
      <w:pStyle w:val="Stopka"/>
      <w:jc w:val="center"/>
      <w:rPr>
        <w:rFonts w:ascii="Arial" w:hAnsi="Arial" w:cs="Arial"/>
        <w:sz w:val="20"/>
      </w:rPr>
    </w:pPr>
    <w:r>
      <w:rPr>
        <w:rStyle w:val="Numerstrony"/>
        <w:rFonts w:ascii="Arial" w:hAnsi="Arial" w:cs="Arial"/>
        <w:sz w:val="20"/>
      </w:rPr>
      <w:fldChar w:fldCharType="begin"/>
    </w:r>
    <w:r>
      <w:rPr>
        <w:rStyle w:val="Numerstrony"/>
        <w:rFonts w:ascii="Arial" w:hAnsi="Arial" w:cs="Arial"/>
        <w:sz w:val="20"/>
      </w:rPr>
      <w:instrText xml:space="preserve"> PAGE </w:instrText>
    </w:r>
    <w:r>
      <w:rPr>
        <w:rStyle w:val="Numerstrony"/>
        <w:rFonts w:ascii="Arial" w:hAnsi="Arial" w:cs="Arial"/>
        <w:sz w:val="20"/>
      </w:rPr>
      <w:fldChar w:fldCharType="separate"/>
    </w:r>
    <w:r w:rsidR="00D90573">
      <w:rPr>
        <w:rStyle w:val="Numerstrony"/>
        <w:rFonts w:ascii="Arial" w:hAnsi="Arial" w:cs="Arial"/>
        <w:noProof/>
        <w:sz w:val="20"/>
      </w:rPr>
      <w:t>4</w:t>
    </w:r>
    <w:r>
      <w:rPr>
        <w:rStyle w:val="Numerstrony"/>
        <w:rFonts w:ascii="Arial" w:hAnsi="Arial" w:cs="Arial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85695" w:rsidRDefault="00085695">
      <w:r>
        <w:separator/>
      </w:r>
    </w:p>
  </w:footnote>
  <w:footnote w:type="continuationSeparator" w:id="0">
    <w:p w:rsidR="00085695" w:rsidRDefault="000856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91344"/>
    <w:multiLevelType w:val="multilevel"/>
    <w:tmpl w:val="1226853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60"/>
        </w:tabs>
        <w:ind w:left="2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40"/>
        </w:tabs>
        <w:ind w:left="47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160"/>
        </w:tabs>
        <w:ind w:left="5160" w:hanging="1800"/>
      </w:pPr>
      <w:rPr>
        <w:rFonts w:hint="default"/>
      </w:rPr>
    </w:lvl>
  </w:abstractNum>
  <w:abstractNum w:abstractNumId="1" w15:restartNumberingAfterBreak="0">
    <w:nsid w:val="18A22A72"/>
    <w:multiLevelType w:val="hybridMultilevel"/>
    <w:tmpl w:val="3D74FD2C"/>
    <w:lvl w:ilvl="0" w:tplc="DBEA19E0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DBEA19E0">
      <w:start w:val="1"/>
      <w:numFmt w:val="bullet"/>
      <w:lvlText w:val=""/>
      <w:lvlJc w:val="left"/>
      <w:pPr>
        <w:ind w:left="5018" w:hanging="360"/>
      </w:pPr>
      <w:rPr>
        <w:rFonts w:ascii="Symbol" w:hAnsi="Symbol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" w15:restartNumberingAfterBreak="0">
    <w:nsid w:val="19580C1A"/>
    <w:multiLevelType w:val="hybridMultilevel"/>
    <w:tmpl w:val="C0DA11AC"/>
    <w:lvl w:ilvl="0" w:tplc="41CC89C4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ascii="Arial" w:hAnsi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CF5487"/>
    <w:multiLevelType w:val="hybridMultilevel"/>
    <w:tmpl w:val="D206C05C"/>
    <w:lvl w:ilvl="0" w:tplc="980A3FB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5449E6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B856345"/>
    <w:multiLevelType w:val="multilevel"/>
    <w:tmpl w:val="96F270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  <w:b w:val="0"/>
        <w:i w:val="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" w15:restartNumberingAfterBreak="0">
    <w:nsid w:val="1B8E4986"/>
    <w:multiLevelType w:val="multilevel"/>
    <w:tmpl w:val="4F606D20"/>
    <w:lvl w:ilvl="0">
      <w:start w:val="1"/>
      <w:numFmt w:val="upperRoman"/>
      <w:pStyle w:val="Nagwek2"/>
      <w:lvlText w:val="%1."/>
      <w:lvlJc w:val="left"/>
      <w:pPr>
        <w:tabs>
          <w:tab w:val="num" w:pos="1287"/>
        </w:tabs>
        <w:ind w:left="1287" w:hanging="720"/>
      </w:pPr>
      <w:rPr>
        <w:strike w:val="0"/>
        <w:dstrike w:val="0"/>
        <w:u w:val="none"/>
        <w:effect w:val="none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D6E4DFA"/>
    <w:multiLevelType w:val="hybridMultilevel"/>
    <w:tmpl w:val="5114C80A"/>
    <w:lvl w:ilvl="0" w:tplc="F8768F6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20162605"/>
    <w:multiLevelType w:val="hybridMultilevel"/>
    <w:tmpl w:val="8402AD9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4AA3EE8"/>
    <w:multiLevelType w:val="hybridMultilevel"/>
    <w:tmpl w:val="351E1D54"/>
    <w:lvl w:ilvl="0" w:tplc="FA786C4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7064843"/>
    <w:multiLevelType w:val="hybridMultilevel"/>
    <w:tmpl w:val="CCC0810E"/>
    <w:lvl w:ilvl="0" w:tplc="FA786C4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B7A1BDC"/>
    <w:multiLevelType w:val="hybridMultilevel"/>
    <w:tmpl w:val="87B228D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B0037F0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260E2B20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strike w:val="0"/>
      </w:rPr>
    </w:lvl>
    <w:lvl w:ilvl="3" w:tplc="3A2ADEF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CFF43A74">
      <w:numFmt w:val="bullet"/>
      <w:lvlText w:val="•"/>
      <w:lvlJc w:val="left"/>
      <w:pPr>
        <w:ind w:left="3600" w:hanging="360"/>
      </w:pPr>
      <w:rPr>
        <w:rFonts w:ascii="Arial" w:eastAsia="Times New Roman" w:hAnsi="Arial" w:cs="Aria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B4A3E50"/>
    <w:multiLevelType w:val="hybridMultilevel"/>
    <w:tmpl w:val="9E68AA34"/>
    <w:lvl w:ilvl="0" w:tplc="AF0A9330">
      <w:start w:val="1"/>
      <w:numFmt w:val="decimal"/>
      <w:lvlText w:val="%1)"/>
      <w:lvlJc w:val="left"/>
      <w:pPr>
        <w:ind w:left="1065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965D8D"/>
    <w:multiLevelType w:val="hybridMultilevel"/>
    <w:tmpl w:val="534628A8"/>
    <w:lvl w:ilvl="0" w:tplc="FFFFFFFF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  <w:szCs w:val="2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070111F"/>
    <w:multiLevelType w:val="multilevel"/>
    <w:tmpl w:val="613825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4" w15:restartNumberingAfterBreak="0">
    <w:nsid w:val="585D1EDF"/>
    <w:multiLevelType w:val="multilevel"/>
    <w:tmpl w:val="67BC001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83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5EBF0DC5"/>
    <w:multiLevelType w:val="multilevel"/>
    <w:tmpl w:val="82C090E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 w15:restartNumberingAfterBreak="0">
    <w:nsid w:val="658271CE"/>
    <w:multiLevelType w:val="multilevel"/>
    <w:tmpl w:val="422C21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lvlText w:val="%2.1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80"/>
        </w:tabs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40"/>
        </w:tabs>
        <w:ind w:left="17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220"/>
        </w:tabs>
        <w:ind w:left="22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640"/>
        </w:tabs>
        <w:ind w:left="2640" w:hanging="1800"/>
      </w:pPr>
      <w:rPr>
        <w:rFonts w:hint="default"/>
      </w:rPr>
    </w:lvl>
  </w:abstractNum>
  <w:abstractNum w:abstractNumId="18" w15:restartNumberingAfterBreak="0">
    <w:nsid w:val="691215B3"/>
    <w:multiLevelType w:val="multilevel"/>
    <w:tmpl w:val="47DE969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80"/>
        </w:tabs>
        <w:ind w:left="19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760"/>
        </w:tabs>
        <w:ind w:left="2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80"/>
        </w:tabs>
        <w:ind w:left="43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160"/>
        </w:tabs>
        <w:ind w:left="5160" w:hanging="1800"/>
      </w:pPr>
      <w:rPr>
        <w:rFonts w:hint="default"/>
      </w:rPr>
    </w:lvl>
  </w:abstractNum>
  <w:abstractNum w:abstractNumId="19" w15:restartNumberingAfterBreak="0">
    <w:nsid w:val="6D063EBA"/>
    <w:multiLevelType w:val="hybridMultilevel"/>
    <w:tmpl w:val="AD2A9F1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9"/>
  </w:num>
  <w:num w:numId="4">
    <w:abstractNumId w:val="3"/>
  </w:num>
  <w:num w:numId="5">
    <w:abstractNumId w:val="10"/>
  </w:num>
  <w:num w:numId="6">
    <w:abstractNumId w:val="2"/>
  </w:num>
  <w:num w:numId="7">
    <w:abstractNumId w:val="14"/>
  </w:num>
  <w:num w:numId="8">
    <w:abstractNumId w:val="1"/>
  </w:num>
  <w:num w:numId="9">
    <w:abstractNumId w:val="7"/>
  </w:num>
  <w:num w:numId="10">
    <w:abstractNumId w:val="15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</w:num>
  <w:num w:numId="15">
    <w:abstractNumId w:val="18"/>
  </w:num>
  <w:num w:numId="16">
    <w:abstractNumId w:val="0"/>
  </w:num>
  <w:num w:numId="17">
    <w:abstractNumId w:val="13"/>
  </w:num>
  <w:num w:numId="2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3963"/>
    <w:rsid w:val="00000E11"/>
    <w:rsid w:val="00001F51"/>
    <w:rsid w:val="00003204"/>
    <w:rsid w:val="00004DF6"/>
    <w:rsid w:val="00010957"/>
    <w:rsid w:val="00014AC2"/>
    <w:rsid w:val="00014FF0"/>
    <w:rsid w:val="00020F45"/>
    <w:rsid w:val="000232D6"/>
    <w:rsid w:val="0003271F"/>
    <w:rsid w:val="00040EE3"/>
    <w:rsid w:val="000463A5"/>
    <w:rsid w:val="00053AED"/>
    <w:rsid w:val="00054ADB"/>
    <w:rsid w:val="000565E1"/>
    <w:rsid w:val="00057847"/>
    <w:rsid w:val="000615B7"/>
    <w:rsid w:val="00063717"/>
    <w:rsid w:val="00074B38"/>
    <w:rsid w:val="000775D0"/>
    <w:rsid w:val="0008097D"/>
    <w:rsid w:val="00081615"/>
    <w:rsid w:val="00085695"/>
    <w:rsid w:val="000948CD"/>
    <w:rsid w:val="00096F8E"/>
    <w:rsid w:val="000B6727"/>
    <w:rsid w:val="000C12F1"/>
    <w:rsid w:val="000C60C2"/>
    <w:rsid w:val="000C7680"/>
    <w:rsid w:val="000D5B4D"/>
    <w:rsid w:val="000D6C1B"/>
    <w:rsid w:val="000E4A7A"/>
    <w:rsid w:val="000E6F49"/>
    <w:rsid w:val="000E7959"/>
    <w:rsid w:val="000F255A"/>
    <w:rsid w:val="000F6EFD"/>
    <w:rsid w:val="00107CCF"/>
    <w:rsid w:val="00115F57"/>
    <w:rsid w:val="00120A50"/>
    <w:rsid w:val="00120ADD"/>
    <w:rsid w:val="0012122E"/>
    <w:rsid w:val="0012271E"/>
    <w:rsid w:val="00126804"/>
    <w:rsid w:val="00131CE8"/>
    <w:rsid w:val="00132489"/>
    <w:rsid w:val="00133A4D"/>
    <w:rsid w:val="001341B4"/>
    <w:rsid w:val="00140C28"/>
    <w:rsid w:val="001513B6"/>
    <w:rsid w:val="00154EF3"/>
    <w:rsid w:val="0016427B"/>
    <w:rsid w:val="0016597F"/>
    <w:rsid w:val="0016685F"/>
    <w:rsid w:val="00167AA5"/>
    <w:rsid w:val="0017613E"/>
    <w:rsid w:val="00191088"/>
    <w:rsid w:val="001A0CA7"/>
    <w:rsid w:val="001A4E0D"/>
    <w:rsid w:val="001A511F"/>
    <w:rsid w:val="001A7F34"/>
    <w:rsid w:val="001B6727"/>
    <w:rsid w:val="001C00F3"/>
    <w:rsid w:val="001C066A"/>
    <w:rsid w:val="001C14FD"/>
    <w:rsid w:val="001C36D0"/>
    <w:rsid w:val="001C7324"/>
    <w:rsid w:val="001D5533"/>
    <w:rsid w:val="001D58AD"/>
    <w:rsid w:val="001D6E2E"/>
    <w:rsid w:val="001D721B"/>
    <w:rsid w:val="001E2860"/>
    <w:rsid w:val="001E287B"/>
    <w:rsid w:val="001E7703"/>
    <w:rsid w:val="001F79EB"/>
    <w:rsid w:val="00200413"/>
    <w:rsid w:val="00204B03"/>
    <w:rsid w:val="002071CE"/>
    <w:rsid w:val="0021158E"/>
    <w:rsid w:val="00211669"/>
    <w:rsid w:val="00211C37"/>
    <w:rsid w:val="002122BF"/>
    <w:rsid w:val="00222531"/>
    <w:rsid w:val="00224996"/>
    <w:rsid w:val="002317D8"/>
    <w:rsid w:val="00235E72"/>
    <w:rsid w:val="00237A8B"/>
    <w:rsid w:val="00256864"/>
    <w:rsid w:val="00261AFF"/>
    <w:rsid w:val="002627CA"/>
    <w:rsid w:val="00262A74"/>
    <w:rsid w:val="00265EBE"/>
    <w:rsid w:val="00266197"/>
    <w:rsid w:val="00275B1B"/>
    <w:rsid w:val="00277592"/>
    <w:rsid w:val="00277FFC"/>
    <w:rsid w:val="00284670"/>
    <w:rsid w:val="00287173"/>
    <w:rsid w:val="00287EF9"/>
    <w:rsid w:val="00291C98"/>
    <w:rsid w:val="002948DC"/>
    <w:rsid w:val="002A2387"/>
    <w:rsid w:val="002A4119"/>
    <w:rsid w:val="002A629C"/>
    <w:rsid w:val="002B22FC"/>
    <w:rsid w:val="002B2647"/>
    <w:rsid w:val="002B5350"/>
    <w:rsid w:val="002B7C82"/>
    <w:rsid w:val="002C1D46"/>
    <w:rsid w:val="002C2276"/>
    <w:rsid w:val="002C3944"/>
    <w:rsid w:val="002C5898"/>
    <w:rsid w:val="002D552D"/>
    <w:rsid w:val="002E3D63"/>
    <w:rsid w:val="002E69C4"/>
    <w:rsid w:val="002F0C71"/>
    <w:rsid w:val="002F3DD4"/>
    <w:rsid w:val="0030710F"/>
    <w:rsid w:val="00314853"/>
    <w:rsid w:val="00323445"/>
    <w:rsid w:val="0032587D"/>
    <w:rsid w:val="0033012D"/>
    <w:rsid w:val="00331A93"/>
    <w:rsid w:val="003414ED"/>
    <w:rsid w:val="00341DE9"/>
    <w:rsid w:val="00343BA4"/>
    <w:rsid w:val="0034493A"/>
    <w:rsid w:val="00347D26"/>
    <w:rsid w:val="003529EE"/>
    <w:rsid w:val="00354801"/>
    <w:rsid w:val="00354BE7"/>
    <w:rsid w:val="0036329B"/>
    <w:rsid w:val="00364BA6"/>
    <w:rsid w:val="003652A9"/>
    <w:rsid w:val="003669C9"/>
    <w:rsid w:val="00382CC9"/>
    <w:rsid w:val="003A548F"/>
    <w:rsid w:val="003A7DFF"/>
    <w:rsid w:val="003C03CE"/>
    <w:rsid w:val="003C3BCF"/>
    <w:rsid w:val="003C64A0"/>
    <w:rsid w:val="003E186E"/>
    <w:rsid w:val="003E3A55"/>
    <w:rsid w:val="003F6A28"/>
    <w:rsid w:val="00401440"/>
    <w:rsid w:val="004014C8"/>
    <w:rsid w:val="00401AA7"/>
    <w:rsid w:val="00403138"/>
    <w:rsid w:val="00403B8F"/>
    <w:rsid w:val="00416CBB"/>
    <w:rsid w:val="00423E7E"/>
    <w:rsid w:val="00432BBF"/>
    <w:rsid w:val="004335D6"/>
    <w:rsid w:val="00436DF3"/>
    <w:rsid w:val="004435A7"/>
    <w:rsid w:val="004464DC"/>
    <w:rsid w:val="004476C5"/>
    <w:rsid w:val="00447EF1"/>
    <w:rsid w:val="00451CE2"/>
    <w:rsid w:val="00452D29"/>
    <w:rsid w:val="00453D42"/>
    <w:rsid w:val="00462089"/>
    <w:rsid w:val="00484493"/>
    <w:rsid w:val="00487D2A"/>
    <w:rsid w:val="0049127F"/>
    <w:rsid w:val="00493B69"/>
    <w:rsid w:val="00495945"/>
    <w:rsid w:val="004A1DFC"/>
    <w:rsid w:val="004A7027"/>
    <w:rsid w:val="004B5DAA"/>
    <w:rsid w:val="004B784C"/>
    <w:rsid w:val="004C0A54"/>
    <w:rsid w:val="004C4907"/>
    <w:rsid w:val="004C5344"/>
    <w:rsid w:val="004E0181"/>
    <w:rsid w:val="004E10AD"/>
    <w:rsid w:val="0050249E"/>
    <w:rsid w:val="005025F2"/>
    <w:rsid w:val="00505542"/>
    <w:rsid w:val="005254D5"/>
    <w:rsid w:val="005451B3"/>
    <w:rsid w:val="00546E7C"/>
    <w:rsid w:val="00550997"/>
    <w:rsid w:val="005511F2"/>
    <w:rsid w:val="00553616"/>
    <w:rsid w:val="00554626"/>
    <w:rsid w:val="00555399"/>
    <w:rsid w:val="00555F79"/>
    <w:rsid w:val="00560D53"/>
    <w:rsid w:val="00575FE0"/>
    <w:rsid w:val="00591C72"/>
    <w:rsid w:val="0059364A"/>
    <w:rsid w:val="0059542F"/>
    <w:rsid w:val="005966A8"/>
    <w:rsid w:val="005A55C1"/>
    <w:rsid w:val="005C3E75"/>
    <w:rsid w:val="005D0ED1"/>
    <w:rsid w:val="005D3D1E"/>
    <w:rsid w:val="005D4DBC"/>
    <w:rsid w:val="005D73FC"/>
    <w:rsid w:val="005E0F7B"/>
    <w:rsid w:val="005E46E4"/>
    <w:rsid w:val="005E478E"/>
    <w:rsid w:val="005F1B55"/>
    <w:rsid w:val="005F30E1"/>
    <w:rsid w:val="005F4121"/>
    <w:rsid w:val="00604854"/>
    <w:rsid w:val="00613E54"/>
    <w:rsid w:val="00625057"/>
    <w:rsid w:val="00630EFA"/>
    <w:rsid w:val="00657BB2"/>
    <w:rsid w:val="006667E6"/>
    <w:rsid w:val="006707FB"/>
    <w:rsid w:val="006865FB"/>
    <w:rsid w:val="00691020"/>
    <w:rsid w:val="006B2DC7"/>
    <w:rsid w:val="006C318A"/>
    <w:rsid w:val="006C4F8C"/>
    <w:rsid w:val="006D0EDA"/>
    <w:rsid w:val="006D5C91"/>
    <w:rsid w:val="006E0381"/>
    <w:rsid w:val="006E2CE6"/>
    <w:rsid w:val="006E33C6"/>
    <w:rsid w:val="006F0A73"/>
    <w:rsid w:val="006F204F"/>
    <w:rsid w:val="006F3222"/>
    <w:rsid w:val="006F69C9"/>
    <w:rsid w:val="00701967"/>
    <w:rsid w:val="00714A3E"/>
    <w:rsid w:val="007201AF"/>
    <w:rsid w:val="007306DB"/>
    <w:rsid w:val="007316E0"/>
    <w:rsid w:val="00731D5D"/>
    <w:rsid w:val="007324B4"/>
    <w:rsid w:val="007335C6"/>
    <w:rsid w:val="007366BC"/>
    <w:rsid w:val="00736EA2"/>
    <w:rsid w:val="00766C04"/>
    <w:rsid w:val="00771D99"/>
    <w:rsid w:val="007835DA"/>
    <w:rsid w:val="00784E9B"/>
    <w:rsid w:val="00791D86"/>
    <w:rsid w:val="007927C5"/>
    <w:rsid w:val="00792C23"/>
    <w:rsid w:val="0079332A"/>
    <w:rsid w:val="0079341E"/>
    <w:rsid w:val="007940F4"/>
    <w:rsid w:val="007A297E"/>
    <w:rsid w:val="007A441C"/>
    <w:rsid w:val="007A5560"/>
    <w:rsid w:val="007A5ACF"/>
    <w:rsid w:val="007B05C5"/>
    <w:rsid w:val="007B28EF"/>
    <w:rsid w:val="007B3B04"/>
    <w:rsid w:val="007B604D"/>
    <w:rsid w:val="007B6528"/>
    <w:rsid w:val="007C5EC3"/>
    <w:rsid w:val="007C7B92"/>
    <w:rsid w:val="007D1E59"/>
    <w:rsid w:val="007D3612"/>
    <w:rsid w:val="007D6087"/>
    <w:rsid w:val="007D70DA"/>
    <w:rsid w:val="007F0395"/>
    <w:rsid w:val="007F14C4"/>
    <w:rsid w:val="007F16FA"/>
    <w:rsid w:val="007F3ADC"/>
    <w:rsid w:val="007F5AC6"/>
    <w:rsid w:val="008014AF"/>
    <w:rsid w:val="008042F3"/>
    <w:rsid w:val="008042F5"/>
    <w:rsid w:val="00805E17"/>
    <w:rsid w:val="00807893"/>
    <w:rsid w:val="0081714F"/>
    <w:rsid w:val="0082541A"/>
    <w:rsid w:val="00831793"/>
    <w:rsid w:val="00833768"/>
    <w:rsid w:val="00844D77"/>
    <w:rsid w:val="00857D56"/>
    <w:rsid w:val="00860703"/>
    <w:rsid w:val="00860B5C"/>
    <w:rsid w:val="00865ECD"/>
    <w:rsid w:val="0086679E"/>
    <w:rsid w:val="00870FC0"/>
    <w:rsid w:val="00876286"/>
    <w:rsid w:val="00877CDF"/>
    <w:rsid w:val="0088312D"/>
    <w:rsid w:val="00885065"/>
    <w:rsid w:val="00892B81"/>
    <w:rsid w:val="008935A1"/>
    <w:rsid w:val="0089649C"/>
    <w:rsid w:val="0089708E"/>
    <w:rsid w:val="008A2786"/>
    <w:rsid w:val="008A2F5A"/>
    <w:rsid w:val="008B7E0C"/>
    <w:rsid w:val="008D1575"/>
    <w:rsid w:val="008D65CE"/>
    <w:rsid w:val="008E7094"/>
    <w:rsid w:val="008F1DEF"/>
    <w:rsid w:val="00902725"/>
    <w:rsid w:val="009206DB"/>
    <w:rsid w:val="0092372D"/>
    <w:rsid w:val="009257F2"/>
    <w:rsid w:val="00927A3E"/>
    <w:rsid w:val="009305D3"/>
    <w:rsid w:val="00931191"/>
    <w:rsid w:val="00940652"/>
    <w:rsid w:val="00941895"/>
    <w:rsid w:val="00942BEC"/>
    <w:rsid w:val="00950714"/>
    <w:rsid w:val="00951927"/>
    <w:rsid w:val="0096089A"/>
    <w:rsid w:val="00960A0F"/>
    <w:rsid w:val="00960A18"/>
    <w:rsid w:val="0096275E"/>
    <w:rsid w:val="009718F2"/>
    <w:rsid w:val="0097567C"/>
    <w:rsid w:val="0098139D"/>
    <w:rsid w:val="00985283"/>
    <w:rsid w:val="0098554E"/>
    <w:rsid w:val="00986664"/>
    <w:rsid w:val="00992ACE"/>
    <w:rsid w:val="009957B4"/>
    <w:rsid w:val="009A125F"/>
    <w:rsid w:val="009A4434"/>
    <w:rsid w:val="009A5C3C"/>
    <w:rsid w:val="009B7EDB"/>
    <w:rsid w:val="009C0ECA"/>
    <w:rsid w:val="009C2E88"/>
    <w:rsid w:val="009C5290"/>
    <w:rsid w:val="009C7A72"/>
    <w:rsid w:val="009D258B"/>
    <w:rsid w:val="009D2B3E"/>
    <w:rsid w:val="009D315B"/>
    <w:rsid w:val="009E0DDA"/>
    <w:rsid w:val="009E4695"/>
    <w:rsid w:val="009F54FD"/>
    <w:rsid w:val="00A10D6E"/>
    <w:rsid w:val="00A12BF3"/>
    <w:rsid w:val="00A2185B"/>
    <w:rsid w:val="00A26751"/>
    <w:rsid w:val="00A313D4"/>
    <w:rsid w:val="00A3304D"/>
    <w:rsid w:val="00A36969"/>
    <w:rsid w:val="00A36BBB"/>
    <w:rsid w:val="00A41C9E"/>
    <w:rsid w:val="00A456F1"/>
    <w:rsid w:val="00A736B3"/>
    <w:rsid w:val="00A73E13"/>
    <w:rsid w:val="00A921AE"/>
    <w:rsid w:val="00A97836"/>
    <w:rsid w:val="00AA145A"/>
    <w:rsid w:val="00AA1FB1"/>
    <w:rsid w:val="00AA5859"/>
    <w:rsid w:val="00AB009B"/>
    <w:rsid w:val="00AB3508"/>
    <w:rsid w:val="00AC11A4"/>
    <w:rsid w:val="00AC2A0C"/>
    <w:rsid w:val="00AC7901"/>
    <w:rsid w:val="00AD32D3"/>
    <w:rsid w:val="00AF350F"/>
    <w:rsid w:val="00AF5B74"/>
    <w:rsid w:val="00B02891"/>
    <w:rsid w:val="00B15BE9"/>
    <w:rsid w:val="00B20EC6"/>
    <w:rsid w:val="00B24005"/>
    <w:rsid w:val="00B25CCA"/>
    <w:rsid w:val="00B26B9F"/>
    <w:rsid w:val="00B3481D"/>
    <w:rsid w:val="00B369AC"/>
    <w:rsid w:val="00B407CD"/>
    <w:rsid w:val="00B53987"/>
    <w:rsid w:val="00B72E87"/>
    <w:rsid w:val="00B75003"/>
    <w:rsid w:val="00B8270D"/>
    <w:rsid w:val="00B87D94"/>
    <w:rsid w:val="00B91BAD"/>
    <w:rsid w:val="00B93809"/>
    <w:rsid w:val="00BA50E0"/>
    <w:rsid w:val="00BA5253"/>
    <w:rsid w:val="00BB292C"/>
    <w:rsid w:val="00BB5DEE"/>
    <w:rsid w:val="00BC2FE2"/>
    <w:rsid w:val="00BC52A0"/>
    <w:rsid w:val="00BD0614"/>
    <w:rsid w:val="00BD7117"/>
    <w:rsid w:val="00BE2111"/>
    <w:rsid w:val="00BE2B94"/>
    <w:rsid w:val="00BE671B"/>
    <w:rsid w:val="00BF4243"/>
    <w:rsid w:val="00C071A7"/>
    <w:rsid w:val="00C10DFF"/>
    <w:rsid w:val="00C13B77"/>
    <w:rsid w:val="00C17736"/>
    <w:rsid w:val="00C20824"/>
    <w:rsid w:val="00C32545"/>
    <w:rsid w:val="00C43219"/>
    <w:rsid w:val="00C500F8"/>
    <w:rsid w:val="00C513D4"/>
    <w:rsid w:val="00C678C4"/>
    <w:rsid w:val="00C705F5"/>
    <w:rsid w:val="00C7441D"/>
    <w:rsid w:val="00C87E6B"/>
    <w:rsid w:val="00CA2184"/>
    <w:rsid w:val="00CA706C"/>
    <w:rsid w:val="00CB30E0"/>
    <w:rsid w:val="00CC3F1F"/>
    <w:rsid w:val="00CC629D"/>
    <w:rsid w:val="00CD16DD"/>
    <w:rsid w:val="00CD4167"/>
    <w:rsid w:val="00CD655D"/>
    <w:rsid w:val="00CE04AA"/>
    <w:rsid w:val="00CE10C9"/>
    <w:rsid w:val="00CE1595"/>
    <w:rsid w:val="00CE237E"/>
    <w:rsid w:val="00CE59E7"/>
    <w:rsid w:val="00D019B2"/>
    <w:rsid w:val="00D02D85"/>
    <w:rsid w:val="00D10C77"/>
    <w:rsid w:val="00D14EC4"/>
    <w:rsid w:val="00D16329"/>
    <w:rsid w:val="00D1694F"/>
    <w:rsid w:val="00D276BB"/>
    <w:rsid w:val="00D336E2"/>
    <w:rsid w:val="00D42EFA"/>
    <w:rsid w:val="00D47AFA"/>
    <w:rsid w:val="00D5142E"/>
    <w:rsid w:val="00D51A3E"/>
    <w:rsid w:val="00D55534"/>
    <w:rsid w:val="00D56F10"/>
    <w:rsid w:val="00D60933"/>
    <w:rsid w:val="00D619FB"/>
    <w:rsid w:val="00D6201A"/>
    <w:rsid w:val="00D63439"/>
    <w:rsid w:val="00D668C3"/>
    <w:rsid w:val="00D90573"/>
    <w:rsid w:val="00D93DF7"/>
    <w:rsid w:val="00DA1690"/>
    <w:rsid w:val="00DA4225"/>
    <w:rsid w:val="00DA4391"/>
    <w:rsid w:val="00DB102F"/>
    <w:rsid w:val="00DB345B"/>
    <w:rsid w:val="00DB772C"/>
    <w:rsid w:val="00DC71FC"/>
    <w:rsid w:val="00DD1D3F"/>
    <w:rsid w:val="00DD2727"/>
    <w:rsid w:val="00DF09E8"/>
    <w:rsid w:val="00DF1CC9"/>
    <w:rsid w:val="00DF28A8"/>
    <w:rsid w:val="00DF7613"/>
    <w:rsid w:val="00E00FE5"/>
    <w:rsid w:val="00E03FC1"/>
    <w:rsid w:val="00E04BC7"/>
    <w:rsid w:val="00E058DE"/>
    <w:rsid w:val="00E219FE"/>
    <w:rsid w:val="00E27F05"/>
    <w:rsid w:val="00E462E8"/>
    <w:rsid w:val="00E506F6"/>
    <w:rsid w:val="00E51C42"/>
    <w:rsid w:val="00E523C4"/>
    <w:rsid w:val="00E52E8B"/>
    <w:rsid w:val="00E564DF"/>
    <w:rsid w:val="00E60364"/>
    <w:rsid w:val="00E64384"/>
    <w:rsid w:val="00E777B4"/>
    <w:rsid w:val="00E828A0"/>
    <w:rsid w:val="00E93237"/>
    <w:rsid w:val="00E95B00"/>
    <w:rsid w:val="00EA5AA8"/>
    <w:rsid w:val="00EA6726"/>
    <w:rsid w:val="00EC0C86"/>
    <w:rsid w:val="00EC122C"/>
    <w:rsid w:val="00EC7008"/>
    <w:rsid w:val="00ED08F3"/>
    <w:rsid w:val="00EE2700"/>
    <w:rsid w:val="00EF39BE"/>
    <w:rsid w:val="00EF42C8"/>
    <w:rsid w:val="00F02027"/>
    <w:rsid w:val="00F056F4"/>
    <w:rsid w:val="00F21660"/>
    <w:rsid w:val="00F232BC"/>
    <w:rsid w:val="00F30F0A"/>
    <w:rsid w:val="00F31C0F"/>
    <w:rsid w:val="00F3375B"/>
    <w:rsid w:val="00F338EF"/>
    <w:rsid w:val="00F372D2"/>
    <w:rsid w:val="00F46302"/>
    <w:rsid w:val="00F5732B"/>
    <w:rsid w:val="00F57E0E"/>
    <w:rsid w:val="00F727D8"/>
    <w:rsid w:val="00F73E00"/>
    <w:rsid w:val="00F74A6F"/>
    <w:rsid w:val="00F83963"/>
    <w:rsid w:val="00F8663F"/>
    <w:rsid w:val="00F92C9E"/>
    <w:rsid w:val="00F96386"/>
    <w:rsid w:val="00F97BD1"/>
    <w:rsid w:val="00FA1F55"/>
    <w:rsid w:val="00FA27AF"/>
    <w:rsid w:val="00FB20B1"/>
    <w:rsid w:val="00FB2166"/>
    <w:rsid w:val="00FB21BB"/>
    <w:rsid w:val="00FB34FF"/>
    <w:rsid w:val="00FB4FA1"/>
    <w:rsid w:val="00FC4AB5"/>
    <w:rsid w:val="00FD4270"/>
    <w:rsid w:val="00FD66F4"/>
    <w:rsid w:val="00FD7393"/>
    <w:rsid w:val="00FE08A8"/>
    <w:rsid w:val="00FE1C8A"/>
    <w:rsid w:val="00FE555F"/>
    <w:rsid w:val="00FE7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D244FC1F-8AE7-4CE4-B7DB-EC2544B0B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ind w:firstLine="567"/>
      <w:jc w:val="center"/>
      <w:outlineLvl w:val="0"/>
    </w:pPr>
    <w:rPr>
      <w:b/>
      <w:sz w:val="32"/>
      <w:szCs w:val="20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pPr>
      <w:keepNext/>
      <w:numPr>
        <w:numId w:val="1"/>
      </w:numPr>
      <w:spacing w:line="360" w:lineRule="auto"/>
      <w:jc w:val="both"/>
      <w:outlineLvl w:val="1"/>
    </w:pPr>
    <w:rPr>
      <w:sz w:val="28"/>
      <w:szCs w:val="20"/>
      <w:u w:val="single"/>
    </w:rPr>
  </w:style>
  <w:style w:type="paragraph" w:styleId="Nagwek3">
    <w:name w:val="heading 3"/>
    <w:basedOn w:val="Normalny"/>
    <w:next w:val="Normalny"/>
    <w:qFormat/>
    <w:pPr>
      <w:keepNext/>
      <w:spacing w:line="360" w:lineRule="auto"/>
      <w:ind w:right="567"/>
      <w:jc w:val="center"/>
      <w:outlineLvl w:val="2"/>
    </w:pPr>
    <w:rPr>
      <w:b/>
      <w:sz w:val="26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b/>
      <w:sz w:val="32"/>
      <w:szCs w:val="20"/>
    </w:rPr>
  </w:style>
  <w:style w:type="paragraph" w:styleId="Nagwek5">
    <w:name w:val="heading 5"/>
    <w:basedOn w:val="Normalny"/>
    <w:next w:val="Normalny"/>
    <w:qFormat/>
    <w:pPr>
      <w:keepNext/>
      <w:spacing w:line="360" w:lineRule="auto"/>
      <w:jc w:val="center"/>
      <w:outlineLvl w:val="4"/>
    </w:pPr>
    <w:rPr>
      <w:b/>
      <w:sz w:val="26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rFonts w:ascii="Arial" w:hAnsi="Arial"/>
      <w:b/>
      <w:bCs/>
    </w:rPr>
  </w:style>
  <w:style w:type="paragraph" w:styleId="Nagwek7">
    <w:name w:val="heading 7"/>
    <w:basedOn w:val="Normalny"/>
    <w:next w:val="Normalny"/>
    <w:qFormat/>
    <w:pPr>
      <w:keepNext/>
      <w:spacing w:line="360" w:lineRule="auto"/>
      <w:ind w:left="360"/>
      <w:outlineLvl w:val="6"/>
    </w:pPr>
    <w:rPr>
      <w:szCs w:val="20"/>
    </w:rPr>
  </w:style>
  <w:style w:type="paragraph" w:styleId="Nagwek8">
    <w:name w:val="heading 8"/>
    <w:basedOn w:val="Normalny"/>
    <w:next w:val="Normalny"/>
    <w:qFormat/>
    <w:pPr>
      <w:keepNext/>
      <w:ind w:right="567" w:firstLine="4253"/>
      <w:outlineLvl w:val="7"/>
    </w:pPr>
    <w:rPr>
      <w:rFonts w:ascii="Arial" w:hAnsi="Arial" w:cs="Arial"/>
      <w:b/>
      <w:sz w:val="26"/>
    </w:rPr>
  </w:style>
  <w:style w:type="paragraph" w:styleId="Nagwek9">
    <w:name w:val="heading 9"/>
    <w:basedOn w:val="Normalny"/>
    <w:next w:val="Normalny"/>
    <w:qFormat/>
    <w:pPr>
      <w:keepNext/>
      <w:jc w:val="both"/>
      <w:outlineLvl w:val="8"/>
    </w:pPr>
    <w:rPr>
      <w:rFonts w:ascii="Arial" w:hAnsi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aliases w:val="stand"/>
    <w:basedOn w:val="Normalny"/>
    <w:pPr>
      <w:tabs>
        <w:tab w:val="center" w:pos="4536"/>
        <w:tab w:val="right" w:pos="9072"/>
      </w:tabs>
    </w:pPr>
    <w:rPr>
      <w:szCs w:val="20"/>
    </w:rPr>
  </w:style>
  <w:style w:type="paragraph" w:styleId="Tekstpodstawowy">
    <w:name w:val="Body Text"/>
    <w:basedOn w:val="Normalny"/>
    <w:link w:val="TekstpodstawowyZnak"/>
    <w:pPr>
      <w:tabs>
        <w:tab w:val="left" w:pos="-720"/>
        <w:tab w:val="left" w:pos="0"/>
      </w:tabs>
      <w:suppressAutoHyphens/>
      <w:jc w:val="both"/>
    </w:pPr>
    <w:rPr>
      <w:rFonts w:ascii="Arial" w:hAnsi="Arial"/>
      <w:spacing w:val="-3"/>
      <w:sz w:val="22"/>
      <w:szCs w:val="20"/>
      <w:lang w:val="x-none" w:eastAsia="x-none"/>
    </w:rPr>
  </w:style>
  <w:style w:type="paragraph" w:styleId="Tekstpodstawowywcity">
    <w:name w:val="Body Text Indent"/>
    <w:basedOn w:val="Normalny"/>
    <w:pPr>
      <w:ind w:left="708"/>
      <w:jc w:val="both"/>
    </w:pPr>
    <w:rPr>
      <w:rFonts w:ascii="Arial" w:hAnsi="Arial"/>
      <w:b/>
      <w:spacing w:val="-3"/>
      <w:sz w:val="22"/>
      <w:szCs w:val="20"/>
    </w:rPr>
  </w:style>
  <w:style w:type="paragraph" w:styleId="Tekstpodstawowy2">
    <w:name w:val="Body Text 2"/>
    <w:basedOn w:val="Normalny"/>
    <w:link w:val="Tekstpodstawowy2Znak"/>
    <w:pPr>
      <w:tabs>
        <w:tab w:val="left" w:pos="-720"/>
        <w:tab w:val="left" w:pos="0"/>
      </w:tabs>
      <w:suppressAutoHyphens/>
      <w:spacing w:line="336" w:lineRule="auto"/>
      <w:jc w:val="both"/>
    </w:pPr>
    <w:rPr>
      <w:rFonts w:ascii="Arial" w:hAnsi="Arial"/>
      <w:spacing w:val="-3"/>
      <w:szCs w:val="20"/>
      <w:lang w:val="x-none" w:eastAsia="x-none"/>
    </w:rPr>
  </w:style>
  <w:style w:type="paragraph" w:styleId="Tekstpodstawowy3">
    <w:name w:val="Body Text 3"/>
    <w:basedOn w:val="Normalny"/>
    <w:pPr>
      <w:jc w:val="both"/>
    </w:pPr>
    <w:rPr>
      <w:szCs w:val="20"/>
    </w:rPr>
  </w:style>
  <w:style w:type="paragraph" w:styleId="Tekstpodstawowywcity2">
    <w:name w:val="Body Text Indent 2"/>
    <w:basedOn w:val="Normalny"/>
    <w:pPr>
      <w:ind w:left="426" w:hanging="426"/>
      <w:jc w:val="both"/>
    </w:pPr>
    <w:rPr>
      <w:rFonts w:ascii="Arial" w:hAnsi="Arial"/>
      <w:szCs w:val="20"/>
    </w:rPr>
  </w:style>
  <w:style w:type="paragraph" w:styleId="Tekstpodstawowywcity3">
    <w:name w:val="Body Text Indent 3"/>
    <w:basedOn w:val="Normalny"/>
    <w:pPr>
      <w:ind w:left="993" w:hanging="993"/>
      <w:jc w:val="both"/>
    </w:pPr>
    <w:rPr>
      <w:b/>
      <w:szCs w:val="20"/>
    </w:rPr>
  </w:style>
  <w:style w:type="paragraph" w:styleId="Tekstblokowy">
    <w:name w:val="Block Text"/>
    <w:basedOn w:val="Normalny"/>
    <w:pPr>
      <w:ind w:left="993" w:right="-567" w:hanging="426"/>
    </w:pPr>
    <w:rPr>
      <w:szCs w:val="20"/>
    </w:rPr>
  </w:style>
  <w:style w:type="paragraph" w:styleId="Tytu">
    <w:name w:val="Title"/>
    <w:basedOn w:val="Normalny"/>
    <w:qFormat/>
    <w:pPr>
      <w:jc w:val="center"/>
    </w:pPr>
    <w:rPr>
      <w:b/>
      <w:spacing w:val="20"/>
      <w:sz w:val="28"/>
    </w:rPr>
  </w:style>
  <w:style w:type="character" w:styleId="Hipercze">
    <w:name w:val="Hyperlink"/>
    <w:rPr>
      <w:color w:val="0000FF"/>
      <w:u w:val="single"/>
    </w:rPr>
  </w:style>
  <w:style w:type="character" w:styleId="Odwoanieprzypisudolnego">
    <w:name w:val="footnote reference"/>
    <w:semiHidden/>
    <w:rPr>
      <w:vertAlign w:val="superscript"/>
    </w:rPr>
  </w:style>
  <w:style w:type="paragraph" w:customStyle="1" w:styleId="tytu0">
    <w:name w:val="tytuł"/>
    <w:basedOn w:val="Normalny"/>
    <w:next w:val="Normalny"/>
    <w:autoRedefine/>
    <w:rsid w:val="00B72E87"/>
    <w:pPr>
      <w:jc w:val="center"/>
    </w:pPr>
    <w:rPr>
      <w:rFonts w:ascii="Arial" w:hAnsi="Arial" w:cs="Arial"/>
      <w:b/>
      <w:sz w:val="22"/>
      <w:szCs w:val="22"/>
    </w:r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semiHidden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semiHidden/>
    <w:pPr>
      <w:spacing w:line="360" w:lineRule="auto"/>
      <w:jc w:val="both"/>
    </w:pPr>
    <w:rPr>
      <w:b/>
      <w:bCs/>
      <w:szCs w:val="20"/>
    </w:rPr>
  </w:style>
  <w:style w:type="paragraph" w:styleId="Podtytu">
    <w:name w:val="Subtitle"/>
    <w:basedOn w:val="Normalny"/>
    <w:qFormat/>
    <w:pPr>
      <w:jc w:val="center"/>
    </w:pPr>
    <w:rPr>
      <w:b/>
      <w:sz w:val="36"/>
      <w:szCs w:val="20"/>
    </w:rPr>
  </w:style>
  <w:style w:type="character" w:styleId="Odwoaniedokomentarza">
    <w:name w:val="annotation reference"/>
    <w:semiHidden/>
    <w:rsid w:val="007A5560"/>
    <w:rPr>
      <w:sz w:val="16"/>
    </w:rPr>
  </w:style>
  <w:style w:type="character" w:customStyle="1" w:styleId="Tytu1">
    <w:name w:val="Tytuł1"/>
    <w:basedOn w:val="Domylnaczcionkaakapitu"/>
    <w:rsid w:val="00D10C77"/>
  </w:style>
  <w:style w:type="paragraph" w:styleId="Tekstdymka">
    <w:name w:val="Balloon Text"/>
    <w:basedOn w:val="Normalny"/>
    <w:semiHidden/>
    <w:rsid w:val="00000E11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000E11"/>
    <w:pPr>
      <w:overflowPunct/>
      <w:autoSpaceDE/>
      <w:autoSpaceDN/>
      <w:adjustRightInd/>
      <w:textAlignment w:val="auto"/>
    </w:pPr>
    <w:rPr>
      <w:b/>
      <w:bCs/>
    </w:rPr>
  </w:style>
  <w:style w:type="paragraph" w:styleId="Akapitzlist">
    <w:name w:val="List Paragraph"/>
    <w:basedOn w:val="Normalny"/>
    <w:uiPriority w:val="34"/>
    <w:qFormat/>
    <w:rsid w:val="001513B6"/>
    <w:pPr>
      <w:ind w:left="708"/>
    </w:pPr>
  </w:style>
  <w:style w:type="paragraph" w:styleId="Poprawka">
    <w:name w:val="Revision"/>
    <w:hidden/>
    <w:uiPriority w:val="99"/>
    <w:semiHidden/>
    <w:rsid w:val="00F57E0E"/>
    <w:rPr>
      <w:sz w:val="24"/>
      <w:szCs w:val="24"/>
    </w:rPr>
  </w:style>
  <w:style w:type="character" w:customStyle="1" w:styleId="TekstpodstawowyZnak">
    <w:name w:val="Tekst podstawowy Znak"/>
    <w:link w:val="Tekstpodstawowy"/>
    <w:rsid w:val="007F3ADC"/>
    <w:rPr>
      <w:rFonts w:ascii="Arial" w:hAnsi="Arial"/>
      <w:spacing w:val="-3"/>
      <w:sz w:val="22"/>
    </w:rPr>
  </w:style>
  <w:style w:type="character" w:customStyle="1" w:styleId="Tekstpodstawowy2Znak">
    <w:name w:val="Tekst podstawowy 2 Znak"/>
    <w:link w:val="Tekstpodstawowy2"/>
    <w:rsid w:val="00D1694F"/>
    <w:rPr>
      <w:rFonts w:ascii="Arial" w:hAnsi="Arial"/>
      <w:spacing w:val="-3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93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0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8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5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53AEE1-08E9-4E4F-8004-75FC527E9A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1363</Words>
  <Characters>8180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</vt:lpstr>
    </vt:vector>
  </TitlesOfParts>
  <Company>PWiK</Company>
  <LinksUpToDate>false</LinksUpToDate>
  <CharactersWithSpaces>9524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</dc:title>
  <dc:subject/>
  <dc:creator>AQUANET</dc:creator>
  <cp:keywords/>
  <cp:lastModifiedBy>Michał Wiśniewski</cp:lastModifiedBy>
  <cp:revision>2</cp:revision>
  <cp:lastPrinted>2017-07-06T06:47:00Z</cp:lastPrinted>
  <dcterms:created xsi:type="dcterms:W3CDTF">2017-10-27T11:11:00Z</dcterms:created>
  <dcterms:modified xsi:type="dcterms:W3CDTF">2017-10-27T11:11:00Z</dcterms:modified>
</cp:coreProperties>
</file>